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1960" w14:textId="01AC274C" w:rsidR="004528DC" w:rsidRDefault="003B6367" w:rsidP="003B6367">
      <w:pPr>
        <w:jc w:val="center"/>
        <w:rPr>
          <w:b/>
          <w:bCs/>
        </w:rPr>
      </w:pPr>
      <w:r>
        <w:rPr>
          <w:b/>
          <w:bCs/>
        </w:rPr>
        <w:t>Borrador de declaración en nombre de asociaciones de gobiernos locales y regionales</w:t>
      </w:r>
    </w:p>
    <w:p w14:paraId="0CC67C6D" w14:textId="0B478FF5" w:rsidR="003B6367" w:rsidRPr="005E6017" w:rsidRDefault="005E6017" w:rsidP="005E6017">
      <w:pPr>
        <w:jc w:val="center"/>
        <w:rPr>
          <w:i/>
          <w:iCs/>
        </w:rPr>
      </w:pPr>
      <w:r>
        <w:rPr>
          <w:i/>
          <w:iCs/>
        </w:rPr>
        <w:t xml:space="preserve">Se debatirá durante la sesión «LGA 2.0: lista para el futuro» en el Congreso Mundial de CGLU en </w:t>
      </w:r>
      <w:proofErr w:type="spellStart"/>
      <w:r>
        <w:rPr>
          <w:i/>
          <w:iCs/>
        </w:rPr>
        <w:t>Durban</w:t>
      </w:r>
      <w:proofErr w:type="spellEnd"/>
      <w:r>
        <w:rPr>
          <w:i/>
          <w:iCs/>
        </w:rPr>
        <w:t xml:space="preserve"> (viernes 12 de noviembre, 09: 00-10: 30) y se adoptará en las reuniones estatutarias de CGLU en 2020</w:t>
      </w:r>
    </w:p>
    <w:p w14:paraId="02B4B2EA" w14:textId="7504CD1A" w:rsidR="00FA3E0C" w:rsidRDefault="003B6367" w:rsidP="00322ADA">
      <w:pPr>
        <w:jc w:val="both"/>
      </w:pPr>
      <w:r>
        <w:t xml:space="preserve">Nosotros, directores generales y presidentes de asociaciones de gobiernos locales y regionales (LRGA por sus siglas en inglés) de todo el mundo, representamos a numerosos gobiernos locales y regionales </w:t>
      </w:r>
      <w:bookmarkStart w:id="0" w:name="_GoBack"/>
      <w:bookmarkEnd w:id="0"/>
      <w:r>
        <w:t xml:space="preserve">de todos los tamaños. Estamos convencidos de que la unión y la cooperación entre gobiernos locales y regionales sigue siendo fundamental para </w:t>
      </w:r>
      <w:r>
        <w:rPr>
          <w:b/>
          <w:bCs/>
        </w:rPr>
        <w:t>aumentar el impacto y ampliar la acción hacia retos globales apremiantes</w:t>
      </w:r>
      <w:r>
        <w:t xml:space="preserve">, como también se menciona en el borrador de la Declaración Política de </w:t>
      </w:r>
      <w:proofErr w:type="spellStart"/>
      <w:r>
        <w:t>Durban</w:t>
      </w:r>
      <w:proofErr w:type="spellEnd"/>
      <w:r>
        <w:t xml:space="preserve"> de Ciudades y Gobiernos Locales (CGLU). Las LGA tienen el potencial de desempeñar un papel fundamental a la hora de afrontar todos los retos, desde la transición ecológica hasta la igualdad de género.  </w:t>
      </w:r>
    </w:p>
    <w:p w14:paraId="23596FD6" w14:textId="40DCE995" w:rsidR="0091339E" w:rsidRPr="004B35E5" w:rsidRDefault="00F676C5" w:rsidP="00322ADA">
      <w:pPr>
        <w:jc w:val="both"/>
        <w:rPr>
          <w:rFonts w:eastAsiaTheme="majorEastAsia"/>
        </w:rPr>
      </w:pPr>
      <w:r>
        <w:t xml:space="preserve">El siglo pasado, las LRGA fueron los </w:t>
      </w:r>
      <w:r>
        <w:rPr>
          <w:b/>
          <w:bCs/>
        </w:rPr>
        <w:t>motores para el desarrollo sostenible</w:t>
      </w:r>
      <w:r>
        <w:t>. Las LRGA, miembros de ciudades y gobiernos locales unidos, se comprometen a mejorar su efectividad, responsabilidad e inclusión, implantando así la Agenda 2030. Aunque los gobiernos locales tienen un lugar especial en los ODS 11 y los ODS 16, creemos que los 17 Objetivos de Desarrollo Sostenible están vinculados con las competencias de los gobiernos locales y ven un papel crucial para que las LRGA contribuyan a cumplir los ODS.</w:t>
      </w:r>
    </w:p>
    <w:p w14:paraId="5C09E4AF" w14:textId="3CF80B30" w:rsidR="007D0CF2" w:rsidRPr="005E6017" w:rsidRDefault="00231337" w:rsidP="00322ADA">
      <w:pPr>
        <w:jc w:val="both"/>
      </w:pPr>
      <w:r>
        <w:t xml:space="preserve">Somos conscientes de que el contexto en el que operamos </w:t>
      </w:r>
      <w:r>
        <w:rPr>
          <w:b/>
          <w:bCs/>
        </w:rPr>
        <w:t>necesita que nuestras organizaciones evolucionen constantemente</w:t>
      </w:r>
      <w:r>
        <w:t xml:space="preserve">. Nuestras responsabilidades y roles cambian, como también lo hace la relación con nuestras circunscripciones, así como la relación con los gobiernos centrales de nuestros países. No obstante, nuestras tareas principales han seguido siendo similares con los años. Las LRGA siguen estando preparadas para: </w:t>
      </w:r>
    </w:p>
    <w:p w14:paraId="192DAC8F" w14:textId="12B4A5B8" w:rsidR="007D0CF2" w:rsidRDefault="004C7CCA" w:rsidP="007D0CF2">
      <w:pPr>
        <w:pStyle w:val="Prrafodelista"/>
        <w:numPr>
          <w:ilvl w:val="0"/>
          <w:numId w:val="2"/>
        </w:numPr>
        <w:rPr>
          <w:b/>
          <w:bCs/>
        </w:rPr>
      </w:pPr>
      <w:r>
        <w:rPr>
          <w:b/>
          <w:bCs/>
        </w:rPr>
        <w:t>Participar en diálogos estructurales con gobiernos nacionales y la comunidad internacional.</w:t>
      </w:r>
    </w:p>
    <w:p w14:paraId="020EFF58" w14:textId="3926FD81" w:rsidR="002703D9" w:rsidRDefault="00E71FC1" w:rsidP="002703D9">
      <w:pPr>
        <w:ind w:left="720"/>
        <w:jc w:val="both"/>
      </w:pPr>
      <w:r>
        <w:t>Las LRGA representan las necesidades de su circunscripción y de su gente, frente al gobierno central y los actores relevantes, incluida la comunidad internacional. Como organizaciones coordinadoras, estamos en una posición más fuerte que los gobiernos locales individuales para hablar con el gobierno central sobre las necesidades imperiosas sobre el terreno, como la falta de prestación de servicios básicos o la descentralización fiscal fallida. Es importante tener en cuenta que, en muchos países, las LRGA están pasando de realizar actividades de promoción a estructurar la cooperación interadministrativa.</w:t>
      </w:r>
    </w:p>
    <w:p w14:paraId="471E6312" w14:textId="56BEB520" w:rsidR="00FA3E0C" w:rsidRPr="005E7320" w:rsidRDefault="002703D9" w:rsidP="005E7320">
      <w:pPr>
        <w:ind w:left="720"/>
        <w:jc w:val="both"/>
      </w:pPr>
      <w:r>
        <w:t>Además, las LRGA siguen siendo importantes interlocutoras y mediadoras entre el trabajo de defensa internacional y la práctica local. Especialmente cuando el gobierno central es débil o no responde, las LRGA suelen trabajar con la comunidad internacional de donantes para garantizar que los gobiernos locales estén incluidos en los programas de donantes. También utilizamos nuestras conexiones con la comunidad internacional como influencia frente a los gobiernos centrales. Las LGA tienen varios instrumentos a su disposición para dirigir cambios.</w:t>
      </w:r>
    </w:p>
    <w:p w14:paraId="1368787F" w14:textId="60F92C11" w:rsidR="00F80A6A" w:rsidRDefault="00F17A63" w:rsidP="00695F15">
      <w:pPr>
        <w:pStyle w:val="Prrafodelista"/>
        <w:numPr>
          <w:ilvl w:val="0"/>
          <w:numId w:val="2"/>
        </w:numPr>
        <w:jc w:val="both"/>
        <w:rPr>
          <w:b/>
          <w:bCs/>
        </w:rPr>
      </w:pPr>
      <w:r>
        <w:rPr>
          <w:b/>
          <w:bCs/>
        </w:rPr>
        <w:t>Facilitar el aprendizaje, como organizaciones de redes</w:t>
      </w:r>
    </w:p>
    <w:p w14:paraId="2627532E" w14:textId="602B8C2C" w:rsidR="00F17A63" w:rsidRPr="00695F15" w:rsidRDefault="00E71FC1" w:rsidP="00695F15">
      <w:pPr>
        <w:spacing w:after="0" w:line="280" w:lineRule="atLeast"/>
        <w:ind w:left="720"/>
        <w:jc w:val="both"/>
        <w:rPr>
          <w:rFonts w:eastAsiaTheme="majorEastAsia"/>
        </w:rPr>
      </w:pPr>
      <w:r>
        <w:t>Las LRGA facilitan el intercambio continuo y el aprendizaje entre sus miembros y ayudan a fortalecer su capacidad al hacerlo. El desempeño de los gobiernos locales puede fortalecerse significativamente facilitando el intercambio transversal entre gobiernos locales o reuniendo a diferentes capas de gobiernos locales y otros actores de la sociedad civil y del sector privado de una región para debatir asuntos que los afecten.</w:t>
      </w:r>
    </w:p>
    <w:p w14:paraId="6D250686" w14:textId="77777777" w:rsidR="00695F15" w:rsidRDefault="00695F15" w:rsidP="00F17A63">
      <w:pPr>
        <w:spacing w:after="0" w:line="280" w:lineRule="atLeast"/>
        <w:rPr>
          <w:rFonts w:eastAsiaTheme="majorEastAsia"/>
          <w:color w:val="FF0000"/>
        </w:rPr>
      </w:pPr>
    </w:p>
    <w:p w14:paraId="2161ECA3" w14:textId="56690E39" w:rsidR="00B8409E" w:rsidRPr="005E6017" w:rsidRDefault="009D778F" w:rsidP="005E6017">
      <w:pPr>
        <w:ind w:left="720"/>
        <w:jc w:val="both"/>
        <w:rPr>
          <w:rFonts w:eastAsiaTheme="majorEastAsia"/>
        </w:rPr>
      </w:pPr>
      <w:r>
        <w:t xml:space="preserve">Como organizaciones de redes, las LRGA pueden ayudar a establecer conexiones en sus países o en el extranjero, dirigidas al desarrollo de capacidades. Las LRGA suelen participar en la cooperación descentralizada, lo que genera oportunidades para grupos de sus miembros, para el aprendizaje e intercambio internacional. </w:t>
      </w:r>
    </w:p>
    <w:p w14:paraId="74C42451" w14:textId="5E45C76C" w:rsidR="00F80A6A" w:rsidRDefault="00B8409E" w:rsidP="00F80A6A">
      <w:pPr>
        <w:pStyle w:val="Prrafodelista"/>
        <w:numPr>
          <w:ilvl w:val="0"/>
          <w:numId w:val="2"/>
        </w:numPr>
        <w:rPr>
          <w:b/>
          <w:bCs/>
        </w:rPr>
      </w:pPr>
      <w:r>
        <w:rPr>
          <w:b/>
          <w:bCs/>
        </w:rPr>
        <w:t>Organizar servicios juntos</w:t>
      </w:r>
    </w:p>
    <w:p w14:paraId="538D8EED" w14:textId="3D0AC82C" w:rsidR="00B8409E" w:rsidRPr="00325871" w:rsidRDefault="00B8409E" w:rsidP="009845C4">
      <w:pPr>
        <w:spacing w:after="0" w:line="280" w:lineRule="atLeast"/>
        <w:ind w:left="720"/>
        <w:jc w:val="both"/>
        <w:rPr>
          <w:rFonts w:eastAsiaTheme="majorEastAsia"/>
        </w:rPr>
      </w:pPr>
      <w:r>
        <w:t xml:space="preserve">Tradicionalmente, las LRGA ofrecen una variedad de servicios a sus miembros, desde la adaptación de agendas internacionales al contexto local mediante módulos, métodos y plantillas, hasta el diálogo estructural con miembros sobre la reinvención de la democracia local. Estos servicios generan resultados muy concretos, en el plano de gobiernos locales, que afectan a la vida cotidiana de los ciudadanos. </w:t>
      </w:r>
    </w:p>
    <w:p w14:paraId="4BED33B5" w14:textId="77777777" w:rsidR="009B1EB0" w:rsidRPr="00325871" w:rsidRDefault="009B1EB0" w:rsidP="009845C4">
      <w:pPr>
        <w:spacing w:after="0" w:line="280" w:lineRule="atLeast"/>
        <w:ind w:left="720"/>
        <w:jc w:val="both"/>
        <w:rPr>
          <w:rFonts w:eastAsiaTheme="majorEastAsia"/>
        </w:rPr>
      </w:pPr>
    </w:p>
    <w:p w14:paraId="0D798AA8" w14:textId="60B77E5B" w:rsidR="00FD09CE" w:rsidRPr="005E6017" w:rsidRDefault="00FD09CE" w:rsidP="009845C4">
      <w:pPr>
        <w:spacing w:after="0" w:line="280" w:lineRule="atLeast"/>
        <w:ind w:left="720"/>
        <w:jc w:val="both"/>
        <w:rPr>
          <w:rFonts w:eastAsiaTheme="majorEastAsia"/>
        </w:rPr>
      </w:pPr>
      <w:r>
        <w:t xml:space="preserve">En muchos países, estamos pasando de ofrecer servicios unidireccionales a organizar servicios junto con nuestros miembros, en vista de la rentabilidad y el mayor impacto. Las grandes ciudades actúan a menudo como líderes, pero también es nuestra responsabilidad identificar, </w:t>
      </w:r>
      <w:r>
        <w:rPr>
          <w:b/>
          <w:bCs/>
        </w:rPr>
        <w:t>apoyar, estimular y acelerar</w:t>
      </w:r>
      <w:r>
        <w:t xml:space="preserve"> las buenas prácticas y la innovación en y entre ciudades más pequeñas y, por tanto, no olvidarnos de ningún gobierno local.</w:t>
      </w:r>
    </w:p>
    <w:p w14:paraId="1A7E7723" w14:textId="220BFFC0" w:rsidR="00BE106F" w:rsidRDefault="00BE106F" w:rsidP="009845C4">
      <w:pPr>
        <w:jc w:val="both"/>
        <w:rPr>
          <w:b/>
          <w:bCs/>
        </w:rPr>
      </w:pPr>
    </w:p>
    <w:p w14:paraId="29D6C11A" w14:textId="56076989" w:rsidR="00A83A1D" w:rsidRDefault="00BE106F" w:rsidP="005E6017">
      <w:pPr>
        <w:jc w:val="both"/>
      </w:pPr>
      <w:r>
        <w:t xml:space="preserve">Creemos firmemente que, al hacer estas labores centrales, las asociaciones de gobiernos locales y regionales desempeñan un papel fundamental en todos los retos globales abordados en la Declaración política: </w:t>
      </w:r>
      <w:r>
        <w:rPr>
          <w:b/>
          <w:bCs/>
        </w:rPr>
        <w:t>Derecho a la vivienda, migración, renovación de la democracia y la ciudadanía, diálogo intergeneracional y paz, transición ecológica, resistencia, igualdad de género y cultura</w:t>
      </w:r>
      <w:r>
        <w:t xml:space="preserve">, y que podemos ser decisivas a la hora de abordar tanto las causas como las consecuencias de estos retos. </w:t>
      </w:r>
    </w:p>
    <w:p w14:paraId="515411AF" w14:textId="67FB6411" w:rsidR="00A83A1D" w:rsidRPr="00A83A1D" w:rsidRDefault="00A83A1D" w:rsidP="005E6017">
      <w:pPr>
        <w:jc w:val="both"/>
        <w:rPr>
          <w:rFonts w:ascii="Calibri" w:hAnsi="Calibri" w:cs="Calibri"/>
        </w:rPr>
      </w:pPr>
      <w:r>
        <w:t xml:space="preserve">Ni que decir tiene que las </w:t>
      </w:r>
      <w:r>
        <w:rPr>
          <w:b/>
          <w:bCs/>
        </w:rPr>
        <w:t>LRGA añaden un valor importante a CGLU</w:t>
      </w:r>
      <w:r>
        <w:t xml:space="preserve"> al actuar de enlace entre la práctica local de gobiernos locales y los marcos de políticas abstractas de gobiernos nacionales y organizaciones internacionales. Las LRGA son focos de atención para grandes circunscripciones de gobiernos locales que traen un grupo fuerte y diverso de gobiernos locales a CGLU. Además, las LRGA tienen la capacidad de reunir a diferentes grupos de gobiernos locales (con diferentes perspectivas y características) y encontrar una solución adecuada para todos. Esto puede y debería aplicarse en todas las organizaciones y agendas internacionales. </w:t>
      </w:r>
    </w:p>
    <w:p w14:paraId="738A5908" w14:textId="3586BD82" w:rsidR="002C06FC" w:rsidRPr="002C06FC" w:rsidRDefault="002C06FC" w:rsidP="009845C4">
      <w:pPr>
        <w:spacing w:after="0" w:line="280" w:lineRule="atLeast"/>
        <w:jc w:val="both"/>
        <w:rPr>
          <w:rFonts w:eastAsiaTheme="majorEastAsia"/>
        </w:rPr>
      </w:pPr>
      <w:r>
        <w:t xml:space="preserve">Mediante esta declaración, confirmamos nuestra responsabilidad de seguir utilizando estos conocimientos para afrontar retos locales y globales y buscar soluciones pragmáticas y útiles, sin olvidarnos de nadie ni de ningún sitio. </w:t>
      </w:r>
    </w:p>
    <w:p w14:paraId="619084B0" w14:textId="003F3280" w:rsidR="003B3FF8" w:rsidRPr="00DE2F7F" w:rsidRDefault="003B3FF8" w:rsidP="009845C4">
      <w:pPr>
        <w:jc w:val="both"/>
      </w:pPr>
    </w:p>
    <w:p w14:paraId="3FABFB7E" w14:textId="77777777" w:rsidR="00C3047B" w:rsidRDefault="00C3047B" w:rsidP="009845C4">
      <w:pPr>
        <w:pStyle w:val="Prrafodelista"/>
        <w:jc w:val="both"/>
        <w:rPr>
          <w:b/>
          <w:bCs/>
        </w:rPr>
      </w:pPr>
    </w:p>
    <w:p w14:paraId="43DBF720" w14:textId="77777777" w:rsidR="003B6367" w:rsidRDefault="003B6367" w:rsidP="003B6367">
      <w:pPr>
        <w:rPr>
          <w:b/>
          <w:bCs/>
        </w:rPr>
      </w:pPr>
    </w:p>
    <w:p w14:paraId="05C7BEE3" w14:textId="77777777" w:rsidR="003B6367" w:rsidRDefault="003B6367" w:rsidP="003B6367">
      <w:pPr>
        <w:rPr>
          <w:b/>
          <w:bCs/>
        </w:rPr>
      </w:pPr>
    </w:p>
    <w:p w14:paraId="5AF2CA87" w14:textId="77777777" w:rsidR="003B6367" w:rsidRPr="003B6367" w:rsidRDefault="003B6367">
      <w:pPr>
        <w:rPr>
          <w:b/>
          <w:bCs/>
        </w:rPr>
      </w:pPr>
    </w:p>
    <w:sectPr w:rsidR="003B6367" w:rsidRPr="003B6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D7F"/>
    <w:multiLevelType w:val="hybridMultilevel"/>
    <w:tmpl w:val="4A1227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80402"/>
    <w:multiLevelType w:val="hybridMultilevel"/>
    <w:tmpl w:val="2E42F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75AF0"/>
    <w:multiLevelType w:val="hybridMultilevel"/>
    <w:tmpl w:val="E81C15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01584"/>
    <w:multiLevelType w:val="hybridMultilevel"/>
    <w:tmpl w:val="DB608502"/>
    <w:lvl w:ilvl="0" w:tplc="D766FD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B1D71"/>
    <w:multiLevelType w:val="hybridMultilevel"/>
    <w:tmpl w:val="7BBC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8353B"/>
    <w:multiLevelType w:val="hybridMultilevel"/>
    <w:tmpl w:val="2BA47BF6"/>
    <w:lvl w:ilvl="0" w:tplc="ABEAD02E">
      <w:start w:val="1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ACA5C48"/>
    <w:multiLevelType w:val="hybridMultilevel"/>
    <w:tmpl w:val="78C20F8C"/>
    <w:lvl w:ilvl="0" w:tplc="FFEEE7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7"/>
    <w:rsid w:val="00010C61"/>
    <w:rsid w:val="00012E66"/>
    <w:rsid w:val="00030D24"/>
    <w:rsid w:val="00037C0C"/>
    <w:rsid w:val="000E7FBF"/>
    <w:rsid w:val="000F79EC"/>
    <w:rsid w:val="001579E5"/>
    <w:rsid w:val="00173C17"/>
    <w:rsid w:val="00186723"/>
    <w:rsid w:val="00193F15"/>
    <w:rsid w:val="001A36E9"/>
    <w:rsid w:val="00231337"/>
    <w:rsid w:val="00243623"/>
    <w:rsid w:val="002703D9"/>
    <w:rsid w:val="00290142"/>
    <w:rsid w:val="00297869"/>
    <w:rsid w:val="002C06FC"/>
    <w:rsid w:val="002D32B6"/>
    <w:rsid w:val="002E2511"/>
    <w:rsid w:val="002E5B4A"/>
    <w:rsid w:val="002F706F"/>
    <w:rsid w:val="00315448"/>
    <w:rsid w:val="00322ADA"/>
    <w:rsid w:val="00325871"/>
    <w:rsid w:val="003310CE"/>
    <w:rsid w:val="0035549B"/>
    <w:rsid w:val="00366CB1"/>
    <w:rsid w:val="00385DEB"/>
    <w:rsid w:val="00391824"/>
    <w:rsid w:val="003A57E2"/>
    <w:rsid w:val="003B3FF8"/>
    <w:rsid w:val="003B6367"/>
    <w:rsid w:val="003D08C9"/>
    <w:rsid w:val="00412214"/>
    <w:rsid w:val="0041414D"/>
    <w:rsid w:val="00443F01"/>
    <w:rsid w:val="004528DC"/>
    <w:rsid w:val="004B35E5"/>
    <w:rsid w:val="004C7CCA"/>
    <w:rsid w:val="00500C7D"/>
    <w:rsid w:val="00503972"/>
    <w:rsid w:val="005147FA"/>
    <w:rsid w:val="0053021D"/>
    <w:rsid w:val="005558EB"/>
    <w:rsid w:val="00584333"/>
    <w:rsid w:val="00595E39"/>
    <w:rsid w:val="005B2030"/>
    <w:rsid w:val="005E6017"/>
    <w:rsid w:val="005E7320"/>
    <w:rsid w:val="005F22F6"/>
    <w:rsid w:val="00612789"/>
    <w:rsid w:val="006463C4"/>
    <w:rsid w:val="00680A1D"/>
    <w:rsid w:val="00686137"/>
    <w:rsid w:val="00695F15"/>
    <w:rsid w:val="00782149"/>
    <w:rsid w:val="007C4195"/>
    <w:rsid w:val="007C7196"/>
    <w:rsid w:val="007D0CF2"/>
    <w:rsid w:val="007D3175"/>
    <w:rsid w:val="007D3807"/>
    <w:rsid w:val="007E227C"/>
    <w:rsid w:val="00823D94"/>
    <w:rsid w:val="00830406"/>
    <w:rsid w:val="0086652F"/>
    <w:rsid w:val="00874E7A"/>
    <w:rsid w:val="008950FE"/>
    <w:rsid w:val="008E6A20"/>
    <w:rsid w:val="008F4D9F"/>
    <w:rsid w:val="00900E79"/>
    <w:rsid w:val="0090577D"/>
    <w:rsid w:val="0091339E"/>
    <w:rsid w:val="00932DCA"/>
    <w:rsid w:val="00950B3B"/>
    <w:rsid w:val="0097468C"/>
    <w:rsid w:val="009845C4"/>
    <w:rsid w:val="009B1EB0"/>
    <w:rsid w:val="009D190C"/>
    <w:rsid w:val="009D778F"/>
    <w:rsid w:val="009E30DC"/>
    <w:rsid w:val="009F4660"/>
    <w:rsid w:val="00A114D0"/>
    <w:rsid w:val="00A320FA"/>
    <w:rsid w:val="00A423D1"/>
    <w:rsid w:val="00A83A1D"/>
    <w:rsid w:val="00A87BC6"/>
    <w:rsid w:val="00A927DD"/>
    <w:rsid w:val="00AE50C3"/>
    <w:rsid w:val="00B266F6"/>
    <w:rsid w:val="00B35213"/>
    <w:rsid w:val="00B52821"/>
    <w:rsid w:val="00B8409E"/>
    <w:rsid w:val="00B85D34"/>
    <w:rsid w:val="00BC6B9E"/>
    <w:rsid w:val="00BE106F"/>
    <w:rsid w:val="00BF32B4"/>
    <w:rsid w:val="00BF3B54"/>
    <w:rsid w:val="00C20E41"/>
    <w:rsid w:val="00C3047B"/>
    <w:rsid w:val="00C725F2"/>
    <w:rsid w:val="00C8647A"/>
    <w:rsid w:val="00CD2D3A"/>
    <w:rsid w:val="00CE76D5"/>
    <w:rsid w:val="00CF1434"/>
    <w:rsid w:val="00D02967"/>
    <w:rsid w:val="00D3591A"/>
    <w:rsid w:val="00D4656A"/>
    <w:rsid w:val="00D652FE"/>
    <w:rsid w:val="00D833B8"/>
    <w:rsid w:val="00DE2F7F"/>
    <w:rsid w:val="00DF353F"/>
    <w:rsid w:val="00E305D4"/>
    <w:rsid w:val="00E60CE5"/>
    <w:rsid w:val="00E71FC1"/>
    <w:rsid w:val="00E73D36"/>
    <w:rsid w:val="00EB49E6"/>
    <w:rsid w:val="00F17A63"/>
    <w:rsid w:val="00F43A90"/>
    <w:rsid w:val="00F676C5"/>
    <w:rsid w:val="00F80A6A"/>
    <w:rsid w:val="00F834FA"/>
    <w:rsid w:val="00FA3E0C"/>
    <w:rsid w:val="00FD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7296"/>
  <w15:chartTrackingRefBased/>
  <w15:docId w15:val="{3FA9009D-7F7B-49BF-8012-E632670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 Paragraph,List Paragraph (numbered (a)),Lapis Bulleted List,Dot pt,F5 List Paragraph,List Paragraph1,No Spacing1,List Paragraph Char Char Char,Indicator Text,Numbered Para 1,Bullet 1,List Paragraph12,Bullet Points"/>
    <w:basedOn w:val="Normal"/>
    <w:link w:val="PrrafodelistaCar"/>
    <w:qFormat/>
    <w:rsid w:val="003B6367"/>
    <w:pPr>
      <w:ind w:left="720"/>
      <w:contextualSpacing/>
    </w:pPr>
  </w:style>
  <w:style w:type="character" w:customStyle="1" w:styleId="PrrafodelistaCar">
    <w:name w:val="Párrafo de lista Car"/>
    <w:aliases w:val="Bulleted List Paragraph Car,List Paragraph (numbered (a)) Car,Lapis Bulleted List Car,Dot pt Car,F5 List Paragraph Car,List Paragraph1 Car,No Spacing1 Car,List Paragraph Char Char Char Car,Indicator Text Car,Numbered Para 1 Car"/>
    <w:basedOn w:val="Fuentedeprrafopredeter"/>
    <w:link w:val="Prrafodelista"/>
    <w:uiPriority w:val="34"/>
    <w:rsid w:val="005558EB"/>
  </w:style>
  <w:style w:type="paragraph" w:styleId="Textodeglobo">
    <w:name w:val="Balloon Text"/>
    <w:basedOn w:val="Normal"/>
    <w:link w:val="TextodegloboCar"/>
    <w:uiPriority w:val="99"/>
    <w:semiHidden/>
    <w:unhideWhenUsed/>
    <w:rsid w:val="005E60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017"/>
    <w:rPr>
      <w:rFonts w:ascii="Segoe UI" w:hAnsi="Segoe UI" w:cs="Segoe UI"/>
      <w:sz w:val="18"/>
      <w:szCs w:val="18"/>
    </w:rPr>
  </w:style>
  <w:style w:type="character" w:styleId="Refdecomentario">
    <w:name w:val="annotation reference"/>
    <w:basedOn w:val="Fuentedeprrafopredeter"/>
    <w:uiPriority w:val="99"/>
    <w:semiHidden/>
    <w:unhideWhenUsed/>
    <w:rsid w:val="005F22F6"/>
    <w:rPr>
      <w:sz w:val="16"/>
      <w:szCs w:val="16"/>
    </w:rPr>
  </w:style>
  <w:style w:type="paragraph" w:styleId="Textocomentario">
    <w:name w:val="annotation text"/>
    <w:basedOn w:val="Normal"/>
    <w:link w:val="TextocomentarioCar"/>
    <w:uiPriority w:val="99"/>
    <w:semiHidden/>
    <w:unhideWhenUsed/>
    <w:rsid w:val="005F2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22F6"/>
    <w:rPr>
      <w:sz w:val="20"/>
      <w:szCs w:val="20"/>
    </w:rPr>
  </w:style>
  <w:style w:type="paragraph" w:styleId="Asuntodelcomentario">
    <w:name w:val="annotation subject"/>
    <w:basedOn w:val="Textocomentario"/>
    <w:next w:val="Textocomentario"/>
    <w:link w:val="AsuntodelcomentarioCar"/>
    <w:uiPriority w:val="99"/>
    <w:semiHidden/>
    <w:unhideWhenUsed/>
    <w:rsid w:val="005F22F6"/>
    <w:rPr>
      <w:b/>
      <w:bCs/>
    </w:rPr>
  </w:style>
  <w:style w:type="character" w:customStyle="1" w:styleId="AsuntodelcomentarioCar">
    <w:name w:val="Asunto del comentario Car"/>
    <w:basedOn w:val="TextocomentarioCar"/>
    <w:link w:val="Asuntodelcomentario"/>
    <w:uiPriority w:val="99"/>
    <w:semiHidden/>
    <w:rsid w:val="005F2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6197">
      <w:bodyDiv w:val="1"/>
      <w:marLeft w:val="0"/>
      <w:marRight w:val="0"/>
      <w:marTop w:val="0"/>
      <w:marBottom w:val="0"/>
      <w:divBdr>
        <w:top w:val="none" w:sz="0" w:space="0" w:color="auto"/>
        <w:left w:val="none" w:sz="0" w:space="0" w:color="auto"/>
        <w:bottom w:val="none" w:sz="0" w:space="0" w:color="auto"/>
        <w:right w:val="none" w:sz="0" w:space="0" w:color="auto"/>
      </w:divBdr>
    </w:div>
    <w:div w:id="936715458">
      <w:bodyDiv w:val="1"/>
      <w:marLeft w:val="0"/>
      <w:marRight w:val="0"/>
      <w:marTop w:val="0"/>
      <w:marBottom w:val="0"/>
      <w:divBdr>
        <w:top w:val="none" w:sz="0" w:space="0" w:color="auto"/>
        <w:left w:val="none" w:sz="0" w:space="0" w:color="auto"/>
        <w:bottom w:val="none" w:sz="0" w:space="0" w:color="auto"/>
        <w:right w:val="none" w:sz="0" w:space="0" w:color="auto"/>
      </w:divBdr>
    </w:div>
    <w:div w:id="12108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DF045661DB34182D51BE025B994DD" ma:contentTypeVersion="9" ma:contentTypeDescription="Een nieuw document maken." ma:contentTypeScope="" ma:versionID="d63f6dcf81d33e6e4aaf1b55a982cf95">
  <xsd:schema xmlns:xsd="http://www.w3.org/2001/XMLSchema" xmlns:xs="http://www.w3.org/2001/XMLSchema" xmlns:p="http://schemas.microsoft.com/office/2006/metadata/properties" xmlns:ns2="8a6fd96c-276d-4c26-965b-c17ee1486823" xmlns:ns3="2391f5ca-2020-4896-bb1b-0adae9738ad4" targetNamespace="http://schemas.microsoft.com/office/2006/metadata/properties" ma:root="true" ma:fieldsID="03f04a005cbd8d5cd9c2a83ae7d405eb" ns2:_="" ns3:_="">
    <xsd:import namespace="8a6fd96c-276d-4c26-965b-c17ee1486823"/>
    <xsd:import namespace="2391f5ca-2020-4896-bb1b-0adae9738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fd96c-276d-4c26-965b-c17ee1486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1f5ca-2020-4896-bb1b-0adae9738ad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BC3-01D6-430D-95FE-85CA216A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fd96c-276d-4c26-965b-c17ee1486823"/>
    <ds:schemaRef ds:uri="2391f5ca-2020-4896-bb1b-0adae973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32AC7-07DE-42CF-A49D-82C4A47C676F}">
  <ds:schemaRefs>
    <ds:schemaRef ds:uri="http://schemas.microsoft.com/sharepoint/v3/contenttype/forms"/>
  </ds:schemaRefs>
</ds:datastoreItem>
</file>

<file path=customXml/itemProps3.xml><?xml version="1.0" encoding="utf-8"?>
<ds:datastoreItem xmlns:ds="http://schemas.openxmlformats.org/officeDocument/2006/customXml" ds:itemID="{0F5B7004-0A69-4433-9B18-030359BEBF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3F620-4EA8-4BF1-8E5A-0181605F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5250</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Post</dc:creator>
  <cp:keywords/>
  <dc:description/>
  <cp:lastModifiedBy>Chico Rebolledo</cp:lastModifiedBy>
  <cp:revision>3</cp:revision>
  <cp:lastPrinted>2019-11-04T13:32:00Z</cp:lastPrinted>
  <dcterms:created xsi:type="dcterms:W3CDTF">2019-11-07T16:14:00Z</dcterms:created>
  <dcterms:modified xsi:type="dcterms:W3CDTF">2019-11-08T08:21:00Z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0x0101001F8DF045661DB34182D51BE025B994DD</vt:lpwstr>
  </property>
</Properties>
</file>