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1A4" w:rsidRPr="00691CC3" w:rsidRDefault="003C31A4" w:rsidP="003C31A4">
      <w:pPr>
        <w:rPr>
          <w:rFonts w:ascii="Arial" w:hAnsi="Arial"/>
          <w:sz w:val="18"/>
          <w:szCs w:val="18"/>
        </w:rPr>
      </w:pPr>
      <w:bookmarkStart w:id="0" w:name="_GoBack"/>
      <w:bookmarkEnd w:id="0"/>
    </w:p>
    <w:tbl>
      <w:tblPr>
        <w:tblStyle w:val="Tabelraster"/>
        <w:tblW w:w="15660" w:type="dxa"/>
        <w:tblInd w:w="-792" w:type="dxa"/>
        <w:tblBorders>
          <w:top w:val="single" w:sz="4" w:space="0" w:color="FDB913"/>
          <w:left w:val="single" w:sz="4" w:space="0" w:color="FDB913"/>
          <w:bottom w:val="single" w:sz="4" w:space="0" w:color="FDB913"/>
          <w:right w:val="single" w:sz="4" w:space="0" w:color="FDB913"/>
          <w:insideH w:val="single" w:sz="4" w:space="0" w:color="FDB913"/>
          <w:insideV w:val="single" w:sz="4" w:space="0" w:color="FDB913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080"/>
        <w:gridCol w:w="3069"/>
        <w:gridCol w:w="4536"/>
        <w:gridCol w:w="2790"/>
        <w:gridCol w:w="3465"/>
      </w:tblGrid>
      <w:tr w:rsidR="003C31A4" w:rsidRPr="00691CC3" w:rsidTr="00EB2635">
        <w:trPr>
          <w:trHeight w:val="567"/>
          <w:tblHeader/>
        </w:trPr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3768"/>
            <w:textDirection w:val="tbRl"/>
          </w:tcPr>
          <w:p w:rsidR="003C31A4" w:rsidRPr="00691CC3" w:rsidRDefault="003C31A4" w:rsidP="00EB2635">
            <w:pPr>
              <w:tabs>
                <w:tab w:val="num" w:pos="720"/>
              </w:tabs>
              <w:spacing w:before="120" w:after="120"/>
              <w:ind w:left="170" w:right="74"/>
              <w:rPr>
                <w:rFonts w:ascii="Arial" w:hAnsi="Arial"/>
                <w:b/>
                <w:color w:val="FFFFFF"/>
              </w:rPr>
            </w:pPr>
            <w:r w:rsidRPr="00691CC3">
              <w:rPr>
                <w:rFonts w:ascii="Arial" w:hAnsi="Arial"/>
                <w:b/>
                <w:color w:val="FFFFFF"/>
              </w:rPr>
              <w:t>Overall Objective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3C31A4" w:rsidRPr="00691CC3" w:rsidRDefault="003C31A4" w:rsidP="00EB2635">
            <w:pPr>
              <w:tabs>
                <w:tab w:val="num" w:pos="720"/>
              </w:tabs>
              <w:spacing w:before="120"/>
              <w:jc w:val="center"/>
              <w:rPr>
                <w:rFonts w:ascii="Arial" w:hAnsi="Arial"/>
                <w:b/>
                <w:color w:val="003768"/>
                <w:sz w:val="20"/>
              </w:rPr>
            </w:pPr>
          </w:p>
        </w:tc>
        <w:tc>
          <w:tcPr>
            <w:tcW w:w="3069" w:type="dxa"/>
            <w:tcBorders>
              <w:top w:val="single" w:sz="4" w:space="0" w:color="FDB913"/>
              <w:bottom w:val="single" w:sz="4" w:space="0" w:color="FDB913"/>
            </w:tcBorders>
            <w:shd w:val="clear" w:color="auto" w:fill="FFEDCC"/>
            <w:vAlign w:val="center"/>
          </w:tcPr>
          <w:p w:rsidR="003C31A4" w:rsidRPr="00691CC3" w:rsidRDefault="003C31A4" w:rsidP="00EB2635">
            <w:pPr>
              <w:tabs>
                <w:tab w:val="num" w:pos="720"/>
              </w:tabs>
              <w:ind w:left="57"/>
              <w:rPr>
                <w:rFonts w:ascii="Arial" w:hAnsi="Arial"/>
                <w:b/>
                <w:color w:val="003768"/>
                <w:sz w:val="20"/>
              </w:rPr>
            </w:pPr>
            <w:r w:rsidRPr="00691CC3">
              <w:rPr>
                <w:rFonts w:ascii="Arial" w:hAnsi="Arial"/>
                <w:b/>
                <w:color w:val="003768"/>
                <w:sz w:val="20"/>
              </w:rPr>
              <w:t>Intervention</w:t>
            </w:r>
          </w:p>
        </w:tc>
        <w:tc>
          <w:tcPr>
            <w:tcW w:w="4536" w:type="dxa"/>
            <w:tcBorders>
              <w:top w:val="single" w:sz="4" w:space="0" w:color="FDB913"/>
              <w:bottom w:val="single" w:sz="4" w:space="0" w:color="FDB913"/>
            </w:tcBorders>
            <w:shd w:val="clear" w:color="auto" w:fill="FFEDCC"/>
            <w:vAlign w:val="center"/>
          </w:tcPr>
          <w:p w:rsidR="003C31A4" w:rsidRPr="00691CC3" w:rsidRDefault="003C31A4" w:rsidP="00EB2635">
            <w:pPr>
              <w:ind w:left="57"/>
              <w:rPr>
                <w:rFonts w:ascii="Arial" w:hAnsi="Arial"/>
                <w:b/>
                <w:color w:val="003768"/>
                <w:sz w:val="20"/>
              </w:rPr>
            </w:pPr>
            <w:r w:rsidRPr="00691CC3">
              <w:rPr>
                <w:rFonts w:ascii="Arial" w:hAnsi="Arial"/>
                <w:b/>
                <w:color w:val="003768"/>
                <w:sz w:val="20"/>
              </w:rPr>
              <w:t>Objective verifiable indicators</w:t>
            </w:r>
          </w:p>
        </w:tc>
        <w:tc>
          <w:tcPr>
            <w:tcW w:w="2790" w:type="dxa"/>
            <w:tcBorders>
              <w:top w:val="single" w:sz="4" w:space="0" w:color="FDB913"/>
              <w:bottom w:val="single" w:sz="4" w:space="0" w:color="FDB913"/>
            </w:tcBorders>
            <w:shd w:val="clear" w:color="auto" w:fill="FFEDCC"/>
            <w:vAlign w:val="center"/>
          </w:tcPr>
          <w:p w:rsidR="003C31A4" w:rsidRPr="00691CC3" w:rsidRDefault="003C31A4" w:rsidP="00EB2635">
            <w:pPr>
              <w:tabs>
                <w:tab w:val="num" w:pos="720"/>
              </w:tabs>
              <w:ind w:left="57"/>
              <w:rPr>
                <w:rFonts w:ascii="Arial" w:hAnsi="Arial"/>
                <w:b/>
                <w:color w:val="003768"/>
                <w:sz w:val="20"/>
              </w:rPr>
            </w:pPr>
            <w:r w:rsidRPr="00691CC3">
              <w:rPr>
                <w:rFonts w:ascii="Arial" w:hAnsi="Arial"/>
                <w:b/>
                <w:color w:val="003768"/>
                <w:sz w:val="20"/>
              </w:rPr>
              <w:t>Sources of verification</w:t>
            </w:r>
          </w:p>
        </w:tc>
        <w:tc>
          <w:tcPr>
            <w:tcW w:w="3465" w:type="dxa"/>
            <w:tcBorders>
              <w:top w:val="single" w:sz="4" w:space="0" w:color="FDB913"/>
              <w:bottom w:val="single" w:sz="4" w:space="0" w:color="FDB913"/>
            </w:tcBorders>
            <w:shd w:val="clear" w:color="auto" w:fill="FFEDCC"/>
            <w:vAlign w:val="center"/>
          </w:tcPr>
          <w:p w:rsidR="003C31A4" w:rsidRPr="00691CC3" w:rsidRDefault="003C31A4" w:rsidP="00EB2635">
            <w:pPr>
              <w:ind w:left="57"/>
              <w:rPr>
                <w:rFonts w:ascii="Arial" w:hAnsi="Arial"/>
                <w:b/>
                <w:color w:val="003768"/>
                <w:sz w:val="20"/>
              </w:rPr>
            </w:pPr>
            <w:r w:rsidRPr="00691CC3">
              <w:rPr>
                <w:rFonts w:ascii="Arial" w:hAnsi="Arial"/>
                <w:b/>
                <w:color w:val="003768"/>
                <w:sz w:val="20"/>
              </w:rPr>
              <w:t>Assumptions</w:t>
            </w:r>
          </w:p>
        </w:tc>
      </w:tr>
      <w:tr w:rsidR="003C31A4" w:rsidRPr="00691CC3" w:rsidTr="00EB2635">
        <w:trPr>
          <w:cantSplit/>
          <w:trHeight w:val="1790"/>
        </w:trPr>
        <w:tc>
          <w:tcPr>
            <w:tcW w:w="720" w:type="dxa"/>
            <w:vMerge/>
            <w:tcBorders>
              <w:left w:val="nil"/>
              <w:bottom w:val="nil"/>
              <w:right w:val="nil"/>
            </w:tcBorders>
            <w:shd w:val="clear" w:color="auto" w:fill="003768"/>
            <w:textDirection w:val="tbRl"/>
          </w:tcPr>
          <w:p w:rsidR="003C31A4" w:rsidRPr="00691CC3" w:rsidRDefault="003C31A4" w:rsidP="00EB2635">
            <w:pPr>
              <w:tabs>
                <w:tab w:val="num" w:pos="720"/>
              </w:tabs>
              <w:spacing w:before="120" w:after="120"/>
              <w:ind w:left="170" w:right="74"/>
              <w:rPr>
                <w:rFonts w:ascii="Arial" w:hAnsi="Arial"/>
                <w:color w:val="FFFFFF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nil"/>
              <w:bottom w:val="nil"/>
            </w:tcBorders>
            <w:shd w:val="clear" w:color="auto" w:fill="auto"/>
          </w:tcPr>
          <w:p w:rsidR="003C31A4" w:rsidRPr="00691CC3" w:rsidRDefault="003C31A4" w:rsidP="00EB2635">
            <w:pPr>
              <w:tabs>
                <w:tab w:val="num" w:pos="720"/>
              </w:tabs>
              <w:spacing w:before="120" w:after="120"/>
              <w:ind w:left="74" w:right="74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069" w:type="dxa"/>
            <w:tcBorders>
              <w:top w:val="single" w:sz="4" w:space="0" w:color="FDB913"/>
              <w:bottom w:val="nil"/>
            </w:tcBorders>
          </w:tcPr>
          <w:p w:rsidR="003C31A4" w:rsidRPr="00691CC3" w:rsidRDefault="003C31A4" w:rsidP="00EB2635">
            <w:pPr>
              <w:tabs>
                <w:tab w:val="num" w:pos="720"/>
              </w:tabs>
              <w:spacing w:before="120" w:after="120"/>
              <w:ind w:left="74" w:right="74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 xml:space="preserve">Improved functioning of South Sudanese government institutions  to provide sustainable WASH services </w:t>
            </w:r>
          </w:p>
        </w:tc>
        <w:tc>
          <w:tcPr>
            <w:tcW w:w="4536" w:type="dxa"/>
            <w:tcBorders>
              <w:top w:val="single" w:sz="4" w:space="0" w:color="FDB913"/>
              <w:bottom w:val="nil"/>
            </w:tcBorders>
          </w:tcPr>
          <w:p w:rsidR="003C31A4" w:rsidRPr="00691CC3" w:rsidRDefault="003C31A4" w:rsidP="003C31A4">
            <w:pPr>
              <w:pStyle w:val="Lijstalinea"/>
              <w:keepLines/>
              <w:numPr>
                <w:ilvl w:val="0"/>
                <w:numId w:val="2"/>
              </w:numPr>
              <w:tabs>
                <w:tab w:val="left" w:pos="425"/>
                <w:tab w:val="left" w:pos="851"/>
              </w:tabs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Increased contribution by users and government to operation and maintenance of water supply in line with national policy</w:t>
            </w:r>
          </w:p>
          <w:p w:rsidR="003C31A4" w:rsidRPr="00691CC3" w:rsidRDefault="003C31A4" w:rsidP="003C31A4">
            <w:pPr>
              <w:pStyle w:val="Lijstalinea"/>
              <w:keepLines/>
              <w:numPr>
                <w:ilvl w:val="0"/>
                <w:numId w:val="2"/>
              </w:numPr>
              <w:tabs>
                <w:tab w:val="left" w:pos="425"/>
                <w:tab w:val="left" w:pos="851"/>
              </w:tabs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Increased functionality of water systems</w:t>
            </w:r>
          </w:p>
        </w:tc>
        <w:tc>
          <w:tcPr>
            <w:tcW w:w="2790" w:type="dxa"/>
            <w:tcBorders>
              <w:top w:val="single" w:sz="4" w:space="0" w:color="FDB913"/>
              <w:bottom w:val="nil"/>
            </w:tcBorders>
          </w:tcPr>
          <w:p w:rsidR="003C31A4" w:rsidRPr="00691CC3" w:rsidRDefault="003C31A4" w:rsidP="003C31A4">
            <w:pPr>
              <w:pStyle w:val="Lijstalinea"/>
              <w:numPr>
                <w:ilvl w:val="0"/>
                <w:numId w:val="2"/>
              </w:numPr>
              <w:tabs>
                <w:tab w:val="num" w:pos="720"/>
              </w:tabs>
              <w:spacing w:before="120" w:after="120"/>
              <w:ind w:right="74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South Sudan Health &amp; Household Survey</w:t>
            </w:r>
          </w:p>
          <w:p w:rsidR="003C31A4" w:rsidRPr="00691CC3" w:rsidRDefault="003C31A4" w:rsidP="003C31A4">
            <w:pPr>
              <w:pStyle w:val="Lijstalinea"/>
              <w:numPr>
                <w:ilvl w:val="0"/>
                <w:numId w:val="2"/>
              </w:numPr>
              <w:tabs>
                <w:tab w:val="num" w:pos="720"/>
              </w:tabs>
              <w:spacing w:before="120" w:after="120"/>
              <w:ind w:right="74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Water Information Management System (GRSS Ministry of Water Resources and Irrigation)</w:t>
            </w:r>
          </w:p>
        </w:tc>
        <w:tc>
          <w:tcPr>
            <w:tcW w:w="3465" w:type="dxa"/>
            <w:tcBorders>
              <w:top w:val="single" w:sz="4" w:space="0" w:color="FDB913"/>
              <w:bottom w:val="nil"/>
            </w:tcBorders>
            <w:shd w:val="clear" w:color="auto" w:fill="FFC000"/>
          </w:tcPr>
          <w:p w:rsidR="003C31A4" w:rsidRPr="00691CC3" w:rsidRDefault="003C31A4" w:rsidP="00EB2635">
            <w:pPr>
              <w:pStyle w:val="Lijstalinea"/>
              <w:spacing w:before="120" w:after="120"/>
              <w:ind w:left="360" w:right="74"/>
              <w:rPr>
                <w:rFonts w:ascii="Arial" w:hAnsi="Arial"/>
                <w:color w:val="003768"/>
                <w:sz w:val="16"/>
                <w:szCs w:val="16"/>
                <w:highlight w:val="green"/>
              </w:rPr>
            </w:pPr>
          </w:p>
        </w:tc>
      </w:tr>
      <w:tr w:rsidR="003C31A4" w:rsidRPr="00691CC3" w:rsidTr="00EB2635">
        <w:trPr>
          <w:trHeight w:val="17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C31A4" w:rsidRPr="00691CC3" w:rsidRDefault="003C31A4" w:rsidP="00EB2635">
            <w:pPr>
              <w:tabs>
                <w:tab w:val="num" w:pos="720"/>
              </w:tabs>
              <w:ind w:left="113" w:right="74"/>
              <w:rPr>
                <w:rFonts w:ascii="Arial" w:hAnsi="Arial"/>
                <w:color w:val="FFFFFF"/>
                <w:sz w:val="2"/>
                <w:szCs w:val="2"/>
              </w:rPr>
            </w:pPr>
          </w:p>
        </w:tc>
        <w:tc>
          <w:tcPr>
            <w:tcW w:w="14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3768"/>
          </w:tcPr>
          <w:p w:rsidR="003C31A4" w:rsidRPr="00691CC3" w:rsidRDefault="003C31A4" w:rsidP="00EB2635">
            <w:pPr>
              <w:tabs>
                <w:tab w:val="num" w:pos="720"/>
              </w:tabs>
              <w:spacing w:before="120"/>
              <w:ind w:left="74" w:right="74"/>
              <w:rPr>
                <w:rFonts w:ascii="Arial" w:hAnsi="Arial"/>
                <w:color w:val="003768"/>
                <w:sz w:val="2"/>
                <w:szCs w:val="2"/>
              </w:rPr>
            </w:pPr>
          </w:p>
        </w:tc>
      </w:tr>
      <w:tr w:rsidR="003C31A4" w:rsidRPr="00691CC3" w:rsidTr="00EB2635">
        <w:trPr>
          <w:cantSplit/>
          <w:trHeight w:val="4910"/>
        </w:trPr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003768"/>
            <w:textDirection w:val="tbRl"/>
          </w:tcPr>
          <w:p w:rsidR="003C31A4" w:rsidRPr="00691CC3" w:rsidRDefault="003C31A4" w:rsidP="00EB2635">
            <w:pPr>
              <w:tabs>
                <w:tab w:val="num" w:pos="720"/>
              </w:tabs>
              <w:spacing w:before="120" w:after="120"/>
              <w:ind w:left="170" w:right="74"/>
              <w:rPr>
                <w:rFonts w:ascii="Arial" w:hAnsi="Arial"/>
                <w:b/>
                <w:color w:val="FFFFFF"/>
              </w:rPr>
            </w:pPr>
            <w:r w:rsidRPr="00691CC3">
              <w:rPr>
                <w:rFonts w:ascii="Arial" w:hAnsi="Arial"/>
                <w:b/>
                <w:color w:val="FFFFFF"/>
              </w:rPr>
              <w:t>Specific Objective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</w:tcPr>
          <w:p w:rsidR="003C31A4" w:rsidRPr="00691CC3" w:rsidRDefault="003C31A4" w:rsidP="00EB2635">
            <w:pPr>
              <w:tabs>
                <w:tab w:val="num" w:pos="720"/>
              </w:tabs>
              <w:spacing w:before="240" w:after="480"/>
              <w:ind w:left="57" w:right="74"/>
              <w:rPr>
                <w:rFonts w:ascii="Arial" w:hAnsi="Arial"/>
                <w:b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b/>
                <w:color w:val="003768"/>
                <w:sz w:val="16"/>
                <w:szCs w:val="16"/>
              </w:rPr>
              <w:t>1</w:t>
            </w:r>
          </w:p>
        </w:tc>
        <w:tc>
          <w:tcPr>
            <w:tcW w:w="3069" w:type="dxa"/>
            <w:tcBorders>
              <w:top w:val="nil"/>
              <w:bottom w:val="nil"/>
            </w:tcBorders>
          </w:tcPr>
          <w:p w:rsidR="003C31A4" w:rsidRPr="00691CC3" w:rsidRDefault="003C31A4" w:rsidP="00EB2635">
            <w:pPr>
              <w:tabs>
                <w:tab w:val="num" w:pos="720"/>
              </w:tabs>
              <w:spacing w:before="120" w:after="120"/>
              <w:ind w:left="74" w:right="74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Selected state and county governments are undertaking action to provide sustainable WASH services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3C31A4" w:rsidRPr="00691CC3" w:rsidRDefault="003C31A4" w:rsidP="003C31A4">
            <w:pPr>
              <w:pStyle w:val="Lijstalinea"/>
              <w:keepLines/>
              <w:numPr>
                <w:ilvl w:val="0"/>
                <w:numId w:val="5"/>
              </w:numPr>
              <w:tabs>
                <w:tab w:val="left" w:pos="425"/>
                <w:tab w:val="left" w:pos="851"/>
              </w:tabs>
              <w:rPr>
                <w:rFonts w:ascii="Arial" w:hAnsi="Arial" w:cs="Arial"/>
                <w:b/>
                <w:color w:val="003768"/>
                <w:sz w:val="16"/>
                <w:szCs w:val="16"/>
              </w:rPr>
            </w:pPr>
            <w:r w:rsidRPr="00691CC3">
              <w:rPr>
                <w:rFonts w:ascii="Arial" w:hAnsi="Arial" w:cs="Arial"/>
                <w:color w:val="003768"/>
                <w:sz w:val="16"/>
                <w:szCs w:val="16"/>
              </w:rPr>
              <w:t xml:space="preserve">State and county WASH policies, strategies, implementation plans and budgets have been endorsed </w:t>
            </w:r>
          </w:p>
          <w:p w:rsidR="003C31A4" w:rsidRPr="00691CC3" w:rsidRDefault="003C31A4" w:rsidP="003C31A4">
            <w:pPr>
              <w:pStyle w:val="Lijstalinea"/>
              <w:keepLines/>
              <w:numPr>
                <w:ilvl w:val="0"/>
                <w:numId w:val="5"/>
              </w:numPr>
              <w:tabs>
                <w:tab w:val="left" w:pos="425"/>
                <w:tab w:val="left" w:pos="851"/>
              </w:tabs>
              <w:rPr>
                <w:rFonts w:ascii="Arial" w:hAnsi="Arial" w:cs="Arial"/>
                <w:b/>
                <w:color w:val="003768"/>
                <w:sz w:val="16"/>
                <w:szCs w:val="16"/>
              </w:rPr>
            </w:pPr>
            <w:r w:rsidRPr="00691CC3">
              <w:rPr>
                <w:rFonts w:ascii="Arial" w:hAnsi="Arial" w:cs="Arial"/>
                <w:color w:val="003768"/>
                <w:sz w:val="16"/>
                <w:szCs w:val="16"/>
              </w:rPr>
              <w:t xml:space="preserve">Implementation plans for WASH services are carried out and effective </w:t>
            </w:r>
          </w:p>
          <w:p w:rsidR="003C31A4" w:rsidRPr="00691CC3" w:rsidRDefault="003C31A4" w:rsidP="003C31A4">
            <w:pPr>
              <w:pStyle w:val="Lijstalinea"/>
              <w:keepLines/>
              <w:numPr>
                <w:ilvl w:val="0"/>
                <w:numId w:val="5"/>
              </w:numPr>
              <w:tabs>
                <w:tab w:val="left" w:pos="425"/>
                <w:tab w:val="left" w:pos="851"/>
              </w:tabs>
              <w:rPr>
                <w:rFonts w:ascii="Arial" w:hAnsi="Arial" w:cs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 w:cs="Arial"/>
                <w:color w:val="003768"/>
                <w:sz w:val="16"/>
                <w:szCs w:val="16"/>
              </w:rPr>
              <w:t xml:space="preserve">Intergovernmental relations in carrying out WASH are effective and there are no conflicts of competences </w:t>
            </w:r>
          </w:p>
          <w:p w:rsidR="003C31A4" w:rsidRPr="00691CC3" w:rsidRDefault="003C31A4" w:rsidP="003C31A4">
            <w:pPr>
              <w:pStyle w:val="Lijstalinea"/>
              <w:keepLines/>
              <w:numPr>
                <w:ilvl w:val="0"/>
                <w:numId w:val="5"/>
              </w:numPr>
              <w:tabs>
                <w:tab w:val="left" w:pos="425"/>
                <w:tab w:val="left" w:pos="851"/>
              </w:tabs>
              <w:rPr>
                <w:rFonts w:ascii="Arial" w:hAnsi="Arial" w:cs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 w:cs="Arial"/>
                <w:color w:val="003768"/>
                <w:sz w:val="16"/>
                <w:szCs w:val="16"/>
              </w:rPr>
              <w:t xml:space="preserve">Coordination mechanisms between relevant government institutions and communities and other stakeholders have been developed and are being used </w:t>
            </w:r>
          </w:p>
          <w:p w:rsidR="003C31A4" w:rsidRPr="00691CC3" w:rsidRDefault="003C31A4" w:rsidP="003C31A4">
            <w:pPr>
              <w:pStyle w:val="Lijstalinea"/>
              <w:keepLines/>
              <w:numPr>
                <w:ilvl w:val="0"/>
                <w:numId w:val="5"/>
              </w:numPr>
              <w:tabs>
                <w:tab w:val="left" w:pos="425"/>
                <w:tab w:val="left" w:pos="851"/>
              </w:tabs>
              <w:rPr>
                <w:rFonts w:ascii="Arial" w:hAnsi="Arial" w:cs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 w:cs="Arial"/>
                <w:color w:val="003768"/>
                <w:sz w:val="16"/>
                <w:szCs w:val="16"/>
              </w:rPr>
              <w:t xml:space="preserve">Number of local government initiatives involving communities for maintenance and management of WASH services </w:t>
            </w:r>
          </w:p>
          <w:p w:rsidR="003C31A4" w:rsidRPr="00691CC3" w:rsidRDefault="003C31A4" w:rsidP="003C31A4">
            <w:pPr>
              <w:pStyle w:val="Lijstalinea"/>
              <w:keepLines/>
              <w:numPr>
                <w:ilvl w:val="0"/>
                <w:numId w:val="5"/>
              </w:numPr>
              <w:tabs>
                <w:tab w:val="left" w:pos="425"/>
                <w:tab w:val="left" w:pos="851"/>
              </w:tabs>
              <w:rPr>
                <w:rFonts w:ascii="Arial" w:hAnsi="Arial" w:cs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 w:cs="Arial"/>
                <w:color w:val="003768"/>
                <w:sz w:val="16"/>
                <w:szCs w:val="16"/>
              </w:rPr>
              <w:t xml:space="preserve">Number of lobby &amp; advocacy activities addressing WASH challenges </w:t>
            </w:r>
          </w:p>
          <w:p w:rsidR="003C31A4" w:rsidRPr="00691CC3" w:rsidRDefault="003C31A4" w:rsidP="003C31A4">
            <w:pPr>
              <w:pStyle w:val="Lijstalinea"/>
              <w:keepLines/>
              <w:numPr>
                <w:ilvl w:val="0"/>
                <w:numId w:val="5"/>
              </w:numPr>
              <w:tabs>
                <w:tab w:val="left" w:pos="425"/>
                <w:tab w:val="left" w:pos="851"/>
              </w:tabs>
              <w:rPr>
                <w:rFonts w:ascii="Arial" w:hAnsi="Arial" w:cs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 w:cs="Arial"/>
                <w:color w:val="003768"/>
                <w:sz w:val="16"/>
                <w:szCs w:val="16"/>
              </w:rPr>
              <w:t xml:space="preserve">External support programmes are effectively incorporated into planning, budgeting and policy making processes </w:t>
            </w:r>
          </w:p>
          <w:p w:rsidR="003C31A4" w:rsidRPr="00691CC3" w:rsidRDefault="003C31A4" w:rsidP="003C31A4">
            <w:pPr>
              <w:pStyle w:val="Lijstalinea"/>
              <w:keepLines/>
              <w:numPr>
                <w:ilvl w:val="0"/>
                <w:numId w:val="5"/>
              </w:numPr>
              <w:tabs>
                <w:tab w:val="left" w:pos="425"/>
                <w:tab w:val="left" w:pos="851"/>
              </w:tabs>
              <w:rPr>
                <w:rFonts w:ascii="Arial" w:hAnsi="Arial" w:cs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 w:cs="Arial"/>
                <w:color w:val="003768"/>
                <w:sz w:val="16"/>
                <w:szCs w:val="16"/>
              </w:rPr>
              <w:t xml:space="preserve">Number of cost-recovery mechanisms in place and functioning 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3C31A4" w:rsidRPr="00691CC3" w:rsidRDefault="003C31A4" w:rsidP="003C31A4">
            <w:pPr>
              <w:pStyle w:val="Lijstalinea"/>
              <w:numPr>
                <w:ilvl w:val="0"/>
                <w:numId w:val="2"/>
              </w:numPr>
              <w:tabs>
                <w:tab w:val="num" w:pos="720"/>
              </w:tabs>
              <w:ind w:right="74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 xml:space="preserve">Local orders and bylaws on WASH </w:t>
            </w:r>
          </w:p>
          <w:p w:rsidR="003C31A4" w:rsidRPr="00691CC3" w:rsidRDefault="003C31A4" w:rsidP="003C31A4">
            <w:pPr>
              <w:pStyle w:val="Lijstalinea"/>
              <w:numPr>
                <w:ilvl w:val="0"/>
                <w:numId w:val="2"/>
              </w:numPr>
              <w:tabs>
                <w:tab w:val="num" w:pos="720"/>
              </w:tabs>
              <w:ind w:right="74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State and county WASH policies and/or strategies</w:t>
            </w:r>
          </w:p>
          <w:p w:rsidR="003C31A4" w:rsidRPr="00691CC3" w:rsidRDefault="003C31A4" w:rsidP="003C31A4">
            <w:pPr>
              <w:pStyle w:val="Lijstalinea"/>
              <w:numPr>
                <w:ilvl w:val="0"/>
                <w:numId w:val="2"/>
              </w:numPr>
              <w:tabs>
                <w:tab w:val="num" w:pos="720"/>
              </w:tabs>
              <w:ind w:right="74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Minutes of meetings; State Legislative Assembly and County Council Decisions</w:t>
            </w:r>
          </w:p>
          <w:p w:rsidR="003C31A4" w:rsidRPr="00691CC3" w:rsidRDefault="003C31A4" w:rsidP="003C31A4">
            <w:pPr>
              <w:pStyle w:val="Lijstalinea"/>
              <w:numPr>
                <w:ilvl w:val="0"/>
                <w:numId w:val="2"/>
              </w:numPr>
              <w:ind w:right="74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State and county budgets and financial plans and reports; monitoring reports of cost-recovery mechanisms</w:t>
            </w:r>
          </w:p>
          <w:p w:rsidR="003C31A4" w:rsidRPr="00691CC3" w:rsidRDefault="003C31A4" w:rsidP="003C31A4">
            <w:pPr>
              <w:pStyle w:val="Lijstalinea"/>
              <w:numPr>
                <w:ilvl w:val="0"/>
                <w:numId w:val="2"/>
              </w:numPr>
              <w:tabs>
                <w:tab w:val="num" w:pos="720"/>
              </w:tabs>
              <w:ind w:right="74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Evidence of lobby &amp; advocacy activities (e.g. media coverage, reports/minutes of activities, interviews)</w:t>
            </w:r>
          </w:p>
          <w:p w:rsidR="003C31A4" w:rsidRPr="00691CC3" w:rsidRDefault="003C31A4" w:rsidP="003C31A4">
            <w:pPr>
              <w:pStyle w:val="Lijstalinea"/>
              <w:numPr>
                <w:ilvl w:val="0"/>
                <w:numId w:val="2"/>
              </w:numPr>
              <w:tabs>
                <w:tab w:val="num" w:pos="720"/>
              </w:tabs>
              <w:ind w:right="74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Evidence of local government initiatives on community participation (e.g. media coverage, reports/minutes of activities, interviews)</w:t>
            </w:r>
          </w:p>
          <w:p w:rsidR="003C31A4" w:rsidRPr="00691CC3" w:rsidRDefault="003C31A4" w:rsidP="00EB2635">
            <w:pPr>
              <w:numPr>
                <w:ilvl w:val="0"/>
                <w:numId w:val="1"/>
              </w:numPr>
              <w:spacing w:before="60" w:after="60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 xml:space="preserve">Minutes of coordination meetings with external support partners (e.g. NGOs, donors) </w:t>
            </w:r>
          </w:p>
          <w:p w:rsidR="003C31A4" w:rsidRPr="00691CC3" w:rsidRDefault="003C31A4" w:rsidP="00EB2635">
            <w:pPr>
              <w:numPr>
                <w:ilvl w:val="0"/>
                <w:numId w:val="1"/>
              </w:numPr>
              <w:spacing w:before="60" w:after="60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5 C assessment report</w:t>
            </w:r>
          </w:p>
        </w:tc>
        <w:tc>
          <w:tcPr>
            <w:tcW w:w="3465" w:type="dxa"/>
            <w:tcBorders>
              <w:top w:val="nil"/>
              <w:bottom w:val="nil"/>
            </w:tcBorders>
          </w:tcPr>
          <w:p w:rsidR="003C31A4" w:rsidRPr="009B13FA" w:rsidRDefault="003C31A4" w:rsidP="00EB2635">
            <w:pPr>
              <w:pStyle w:val="Lijstalinea"/>
              <w:numPr>
                <w:ilvl w:val="0"/>
                <w:numId w:val="1"/>
              </w:numPr>
              <w:spacing w:before="120" w:after="120"/>
              <w:ind w:right="74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Continued GRSS level commitment to implement Decentralisation Policy and Service Delivery Framework</w:t>
            </w:r>
          </w:p>
        </w:tc>
      </w:tr>
    </w:tbl>
    <w:p w:rsidR="003C31A4" w:rsidRPr="00691CC3" w:rsidRDefault="003C31A4" w:rsidP="003C31A4">
      <w:pPr>
        <w:rPr>
          <w:rFonts w:ascii="Arial" w:hAnsi="Arial"/>
          <w:sz w:val="18"/>
          <w:szCs w:val="18"/>
        </w:rPr>
        <w:sectPr w:rsidR="003C31A4" w:rsidRPr="00691CC3" w:rsidSect="002E4EB6">
          <w:headerReference w:type="default" r:id="rId8"/>
          <w:pgSz w:w="16838" w:h="11906" w:orient="landscape" w:code="9"/>
          <w:pgMar w:top="2693" w:right="998" w:bottom="1134" w:left="1418" w:header="1134" w:footer="709" w:gutter="0"/>
          <w:cols w:space="708"/>
          <w:docGrid w:linePitch="360"/>
        </w:sectPr>
      </w:pPr>
    </w:p>
    <w:tbl>
      <w:tblPr>
        <w:tblStyle w:val="Tabelraster"/>
        <w:tblW w:w="14940" w:type="dxa"/>
        <w:tblInd w:w="-113" w:type="dxa"/>
        <w:tblBorders>
          <w:top w:val="single" w:sz="4" w:space="0" w:color="FDB913"/>
          <w:left w:val="none" w:sz="0" w:space="0" w:color="auto"/>
          <w:bottom w:val="single" w:sz="4" w:space="0" w:color="FDB913"/>
          <w:right w:val="single" w:sz="4" w:space="0" w:color="FDB913"/>
          <w:insideH w:val="single" w:sz="4" w:space="0" w:color="FDB913"/>
          <w:insideV w:val="single" w:sz="4" w:space="0" w:color="FDB913"/>
        </w:tblBorders>
        <w:tblLook w:val="01E0" w:firstRow="1" w:lastRow="1" w:firstColumn="1" w:lastColumn="1" w:noHBand="0" w:noVBand="0"/>
      </w:tblPr>
      <w:tblGrid>
        <w:gridCol w:w="953"/>
        <w:gridCol w:w="3237"/>
        <w:gridCol w:w="4536"/>
        <w:gridCol w:w="2794"/>
        <w:gridCol w:w="3420"/>
      </w:tblGrid>
      <w:tr w:rsidR="003C31A4" w:rsidRPr="00691CC3" w:rsidTr="00EB2635">
        <w:trPr>
          <w:trHeight w:val="284"/>
        </w:trPr>
        <w:tc>
          <w:tcPr>
            <w:tcW w:w="953" w:type="dxa"/>
          </w:tcPr>
          <w:p w:rsidR="003C31A4" w:rsidRPr="00691CC3" w:rsidRDefault="003C31A4" w:rsidP="00EB2635">
            <w:pPr>
              <w:spacing w:before="60" w:after="60"/>
              <w:rPr>
                <w:rFonts w:ascii="Arial" w:hAnsi="Arial"/>
                <w:color w:val="003768"/>
                <w:sz w:val="16"/>
                <w:szCs w:val="16"/>
              </w:rPr>
            </w:pPr>
          </w:p>
        </w:tc>
        <w:tc>
          <w:tcPr>
            <w:tcW w:w="13987" w:type="dxa"/>
            <w:gridSpan w:val="4"/>
            <w:tcBorders>
              <w:bottom w:val="single" w:sz="4" w:space="0" w:color="FDB913"/>
            </w:tcBorders>
            <w:shd w:val="clear" w:color="auto" w:fill="003768"/>
          </w:tcPr>
          <w:p w:rsidR="003C31A4" w:rsidRPr="00691CC3" w:rsidRDefault="003C31A4" w:rsidP="00EB2635">
            <w:pPr>
              <w:spacing w:before="60" w:after="60"/>
              <w:rPr>
                <w:rFonts w:ascii="Arial" w:hAnsi="Arial"/>
                <w:b/>
                <w:color w:val="FFFFFF"/>
                <w:sz w:val="16"/>
                <w:szCs w:val="16"/>
              </w:rPr>
            </w:pPr>
            <w:r w:rsidRPr="00691CC3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Results</w:t>
            </w:r>
            <w:r w:rsidRPr="00691CC3">
              <w:rPr>
                <w:rFonts w:ascii="Arial" w:hAnsi="Arial"/>
                <w:b/>
                <w:color w:val="FFFFFF"/>
                <w:sz w:val="16"/>
                <w:szCs w:val="16"/>
              </w:rPr>
              <w:t xml:space="preserve"> </w:t>
            </w:r>
          </w:p>
        </w:tc>
      </w:tr>
      <w:tr w:rsidR="003C31A4" w:rsidRPr="00691CC3" w:rsidTr="00EB2635">
        <w:trPr>
          <w:trHeight w:val="237"/>
        </w:trPr>
        <w:tc>
          <w:tcPr>
            <w:tcW w:w="953" w:type="dxa"/>
          </w:tcPr>
          <w:p w:rsidR="003C31A4" w:rsidRPr="00691CC3" w:rsidRDefault="003C31A4" w:rsidP="00EB2635">
            <w:pPr>
              <w:spacing w:before="60" w:after="60"/>
              <w:rPr>
                <w:rFonts w:ascii="Arial" w:hAnsi="Arial"/>
                <w:color w:val="003768"/>
                <w:sz w:val="16"/>
                <w:szCs w:val="16"/>
              </w:rPr>
            </w:pPr>
          </w:p>
        </w:tc>
        <w:tc>
          <w:tcPr>
            <w:tcW w:w="13987" w:type="dxa"/>
            <w:gridSpan w:val="4"/>
            <w:shd w:val="clear" w:color="auto" w:fill="FFEDCC"/>
          </w:tcPr>
          <w:p w:rsidR="003C31A4" w:rsidRPr="00691CC3" w:rsidRDefault="003C31A4" w:rsidP="00EB2635">
            <w:pPr>
              <w:spacing w:before="60" w:after="60"/>
              <w:rPr>
                <w:rFonts w:ascii="Arial" w:hAnsi="Arial"/>
                <w:b/>
                <w:color w:val="003768"/>
                <w:sz w:val="16"/>
                <w:szCs w:val="16"/>
              </w:rPr>
            </w:pPr>
          </w:p>
        </w:tc>
      </w:tr>
      <w:tr w:rsidR="003C31A4" w:rsidRPr="00691CC3" w:rsidTr="00EB2635">
        <w:tc>
          <w:tcPr>
            <w:tcW w:w="953" w:type="dxa"/>
          </w:tcPr>
          <w:p w:rsidR="003C31A4" w:rsidRPr="00691CC3" w:rsidRDefault="003C31A4" w:rsidP="00EB2635">
            <w:pPr>
              <w:spacing w:before="60" w:after="60"/>
              <w:rPr>
                <w:rFonts w:ascii="Arial" w:hAnsi="Arial"/>
                <w:b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b/>
                <w:color w:val="003768"/>
                <w:sz w:val="16"/>
                <w:szCs w:val="16"/>
              </w:rPr>
              <w:t>1</w:t>
            </w:r>
          </w:p>
        </w:tc>
        <w:tc>
          <w:tcPr>
            <w:tcW w:w="3237" w:type="dxa"/>
          </w:tcPr>
          <w:p w:rsidR="003C31A4" w:rsidRPr="00691CC3" w:rsidRDefault="003C31A4" w:rsidP="00EB2635">
            <w:pPr>
              <w:spacing w:before="60" w:after="60"/>
              <w:rPr>
                <w:rFonts w:ascii="Arial" w:hAnsi="Arial" w:cs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 w:cs="Arial"/>
                <w:color w:val="003768"/>
                <w:sz w:val="16"/>
                <w:szCs w:val="16"/>
              </w:rPr>
              <w:t xml:space="preserve">Increased capacity of selected state and counties to provide sustainable WASH services </w:t>
            </w:r>
          </w:p>
        </w:tc>
        <w:tc>
          <w:tcPr>
            <w:tcW w:w="4536" w:type="dxa"/>
          </w:tcPr>
          <w:p w:rsidR="003C31A4" w:rsidRPr="00691CC3" w:rsidRDefault="003C31A4" w:rsidP="003C31A4">
            <w:pPr>
              <w:pStyle w:val="Lijstalinea"/>
              <w:numPr>
                <w:ilvl w:val="0"/>
                <w:numId w:val="4"/>
              </w:numPr>
              <w:spacing w:before="60" w:after="60"/>
              <w:rPr>
                <w:rFonts w:ascii="Arial" w:hAnsi="Arial" w:cs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 w:cs="Arial"/>
                <w:color w:val="003768"/>
                <w:sz w:val="16"/>
                <w:szCs w:val="16"/>
              </w:rPr>
              <w:t xml:space="preserve">In a participatory manner, GRSS-level WASH policies have been translated into state and county WASH policies and </w:t>
            </w:r>
            <w:r>
              <w:rPr>
                <w:rFonts w:ascii="Arial" w:hAnsi="Arial" w:cs="Arial"/>
                <w:color w:val="003768"/>
                <w:sz w:val="16"/>
                <w:szCs w:val="16"/>
              </w:rPr>
              <w:t>strategies</w:t>
            </w:r>
          </w:p>
          <w:p w:rsidR="003C31A4" w:rsidRPr="00691CC3" w:rsidRDefault="003C31A4" w:rsidP="003C31A4">
            <w:pPr>
              <w:pStyle w:val="Lijstalinea"/>
              <w:numPr>
                <w:ilvl w:val="0"/>
                <w:numId w:val="4"/>
              </w:numPr>
              <w:spacing w:before="60" w:after="60"/>
              <w:rPr>
                <w:rFonts w:ascii="Arial" w:hAnsi="Arial" w:cs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 w:cs="Arial"/>
                <w:color w:val="003768"/>
                <w:sz w:val="16"/>
                <w:szCs w:val="16"/>
              </w:rPr>
              <w:t xml:space="preserve">Feasible implementation plans for WASH services (incl. HRM and stakeholder involvement) have been developed </w:t>
            </w:r>
          </w:p>
          <w:p w:rsidR="003C31A4" w:rsidRPr="00691CC3" w:rsidRDefault="003C31A4" w:rsidP="003C31A4">
            <w:pPr>
              <w:pStyle w:val="Lijstalinea"/>
              <w:numPr>
                <w:ilvl w:val="0"/>
                <w:numId w:val="4"/>
              </w:numPr>
              <w:spacing w:before="60" w:after="60"/>
              <w:rPr>
                <w:rFonts w:ascii="Arial" w:hAnsi="Arial" w:cs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 w:cs="Arial"/>
                <w:color w:val="003768"/>
                <w:sz w:val="16"/>
                <w:szCs w:val="16"/>
              </w:rPr>
              <w:t>Strategies to mobilize resources for WASH service delivery (human / institutional/financial /physical/information) have been develop</w:t>
            </w:r>
            <w:r>
              <w:rPr>
                <w:rFonts w:ascii="Arial" w:hAnsi="Arial" w:cs="Arial"/>
                <w:color w:val="003768"/>
                <w:sz w:val="16"/>
                <w:szCs w:val="16"/>
              </w:rPr>
              <w:t>ed</w:t>
            </w:r>
          </w:p>
          <w:p w:rsidR="003C31A4" w:rsidRPr="00691CC3" w:rsidRDefault="003C31A4" w:rsidP="003C31A4">
            <w:pPr>
              <w:pStyle w:val="Lijstalinea"/>
              <w:numPr>
                <w:ilvl w:val="0"/>
                <w:numId w:val="4"/>
              </w:numPr>
              <w:spacing w:before="60" w:after="60"/>
              <w:rPr>
                <w:rFonts w:ascii="Arial" w:hAnsi="Arial" w:cs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 w:cs="Arial"/>
                <w:color w:val="003768"/>
                <w:sz w:val="16"/>
                <w:szCs w:val="16"/>
              </w:rPr>
              <w:t>State and county government have developed strategies for lobby and advocacy to address WASH challenges with the a</w:t>
            </w:r>
            <w:r>
              <w:rPr>
                <w:rFonts w:ascii="Arial" w:hAnsi="Arial" w:cs="Arial"/>
                <w:color w:val="003768"/>
                <w:sz w:val="16"/>
                <w:szCs w:val="16"/>
              </w:rPr>
              <w:t>ppropriate stakeholders</w:t>
            </w:r>
          </w:p>
          <w:p w:rsidR="003C31A4" w:rsidRPr="00691CC3" w:rsidRDefault="003C31A4" w:rsidP="003C31A4">
            <w:pPr>
              <w:pStyle w:val="Lijstalinea"/>
              <w:numPr>
                <w:ilvl w:val="0"/>
                <w:numId w:val="4"/>
              </w:numPr>
              <w:spacing w:before="60" w:after="60"/>
              <w:rPr>
                <w:rFonts w:ascii="Arial" w:hAnsi="Arial" w:cs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 w:cs="Arial"/>
                <w:color w:val="003768"/>
                <w:sz w:val="16"/>
                <w:szCs w:val="16"/>
              </w:rPr>
              <w:t>State and county government have integrated external support coherently in strategies, policies an</w:t>
            </w:r>
            <w:r>
              <w:rPr>
                <w:rFonts w:ascii="Arial" w:hAnsi="Arial" w:cs="Arial"/>
                <w:color w:val="003768"/>
                <w:sz w:val="16"/>
                <w:szCs w:val="16"/>
              </w:rPr>
              <w:t xml:space="preserve">d operations </w:t>
            </w:r>
          </w:p>
          <w:p w:rsidR="003C31A4" w:rsidRPr="00691CC3" w:rsidRDefault="003C31A4" w:rsidP="003C31A4">
            <w:pPr>
              <w:pStyle w:val="Lijstalinea"/>
              <w:numPr>
                <w:ilvl w:val="0"/>
                <w:numId w:val="4"/>
              </w:numPr>
              <w:spacing w:before="60" w:after="60"/>
              <w:rPr>
                <w:rFonts w:ascii="Arial" w:hAnsi="Arial" w:cs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 w:cs="Arial"/>
                <w:color w:val="003768"/>
                <w:sz w:val="16"/>
                <w:szCs w:val="16"/>
              </w:rPr>
              <w:t>Alternative cost-recovery mechanisms have been identified and tested by target state and county</w:t>
            </w:r>
            <w:r>
              <w:rPr>
                <w:rFonts w:ascii="Arial" w:hAnsi="Arial" w:cs="Arial"/>
                <w:color w:val="003768"/>
                <w:sz w:val="16"/>
                <w:szCs w:val="16"/>
              </w:rPr>
              <w:t xml:space="preserve"> governments</w:t>
            </w:r>
          </w:p>
          <w:p w:rsidR="003C31A4" w:rsidRPr="00691CC3" w:rsidRDefault="003C31A4" w:rsidP="003C31A4">
            <w:pPr>
              <w:pStyle w:val="Lijstalinea"/>
              <w:numPr>
                <w:ilvl w:val="0"/>
                <w:numId w:val="4"/>
              </w:numPr>
              <w:spacing w:before="60" w:after="60"/>
              <w:rPr>
                <w:rFonts w:ascii="Arial" w:hAnsi="Arial" w:cs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 w:cs="Arial"/>
                <w:color w:val="003768"/>
                <w:sz w:val="16"/>
                <w:szCs w:val="16"/>
              </w:rPr>
              <w:t xml:space="preserve">Intergovernmental relations roles and responsibilities for the various WASH functions have been defined and documented </w:t>
            </w:r>
          </w:p>
        </w:tc>
        <w:tc>
          <w:tcPr>
            <w:tcW w:w="2794" w:type="dxa"/>
          </w:tcPr>
          <w:p w:rsidR="003C31A4" w:rsidRPr="00691CC3" w:rsidRDefault="003C31A4" w:rsidP="00EB2635">
            <w:pPr>
              <w:pStyle w:val="Lijstalinea"/>
              <w:numPr>
                <w:ilvl w:val="0"/>
                <w:numId w:val="1"/>
              </w:numPr>
              <w:ind w:right="74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Local orders and bylaws on WASH (draft versions)</w:t>
            </w:r>
          </w:p>
          <w:p w:rsidR="003C31A4" w:rsidRPr="00691CC3" w:rsidRDefault="003C31A4" w:rsidP="00EB2635">
            <w:pPr>
              <w:pStyle w:val="Lijstalinea"/>
              <w:numPr>
                <w:ilvl w:val="0"/>
                <w:numId w:val="1"/>
              </w:numPr>
              <w:ind w:right="74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State and county WASH policies and/or strategies (draft versions)</w:t>
            </w:r>
          </w:p>
          <w:p w:rsidR="003C31A4" w:rsidRPr="00691CC3" w:rsidRDefault="003C31A4" w:rsidP="00EB2635">
            <w:pPr>
              <w:pStyle w:val="Lijstalinea"/>
              <w:numPr>
                <w:ilvl w:val="0"/>
                <w:numId w:val="1"/>
              </w:numPr>
              <w:ind w:right="74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Implementation plans for WASH services</w:t>
            </w:r>
          </w:p>
          <w:p w:rsidR="003C31A4" w:rsidRPr="00691CC3" w:rsidRDefault="003C31A4" w:rsidP="00EB2635">
            <w:pPr>
              <w:pStyle w:val="Lijstalinea"/>
              <w:numPr>
                <w:ilvl w:val="0"/>
                <w:numId w:val="1"/>
              </w:numPr>
              <w:ind w:right="74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Lobby and advocacy strategy on WASH challenges</w:t>
            </w:r>
          </w:p>
          <w:p w:rsidR="003C31A4" w:rsidRPr="00691CC3" w:rsidRDefault="003C31A4" w:rsidP="00EB2635">
            <w:pPr>
              <w:numPr>
                <w:ilvl w:val="0"/>
                <w:numId w:val="1"/>
              </w:numPr>
              <w:spacing w:before="60" w:after="60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Reports from the State and country WASH departments</w:t>
            </w:r>
          </w:p>
          <w:p w:rsidR="003C31A4" w:rsidRPr="00691CC3" w:rsidRDefault="003C31A4" w:rsidP="00EB2635">
            <w:pPr>
              <w:pStyle w:val="Lijstalinea"/>
              <w:numPr>
                <w:ilvl w:val="0"/>
                <w:numId w:val="1"/>
              </w:numPr>
              <w:ind w:right="74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State and local government WASH job descriptions</w:t>
            </w:r>
          </w:p>
          <w:p w:rsidR="003C31A4" w:rsidRPr="00691CC3" w:rsidRDefault="003C31A4" w:rsidP="00EB2635">
            <w:pPr>
              <w:numPr>
                <w:ilvl w:val="0"/>
                <w:numId w:val="1"/>
              </w:numPr>
              <w:spacing w:before="60" w:after="60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Monitoring reports from VNG International RPM, experts and HQ staff</w:t>
            </w:r>
          </w:p>
          <w:p w:rsidR="003C31A4" w:rsidRPr="00691CC3" w:rsidRDefault="003C31A4" w:rsidP="00EB2635">
            <w:pPr>
              <w:numPr>
                <w:ilvl w:val="0"/>
                <w:numId w:val="1"/>
              </w:numPr>
              <w:spacing w:before="60" w:after="60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5C assessment report</w:t>
            </w:r>
          </w:p>
        </w:tc>
        <w:tc>
          <w:tcPr>
            <w:tcW w:w="3420" w:type="dxa"/>
          </w:tcPr>
          <w:p w:rsidR="003C31A4" w:rsidRPr="00691CC3" w:rsidRDefault="003C31A4" w:rsidP="00EB2635">
            <w:pPr>
              <w:pStyle w:val="Lijstalinea"/>
              <w:numPr>
                <w:ilvl w:val="0"/>
                <w:numId w:val="1"/>
              </w:numPr>
              <w:spacing w:before="120" w:after="120"/>
              <w:ind w:right="74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Commitment of target group to undertake action and put increased capacity in practice</w:t>
            </w:r>
          </w:p>
          <w:p w:rsidR="003C31A4" w:rsidRPr="00691CC3" w:rsidRDefault="003C31A4" w:rsidP="00EB2635">
            <w:pPr>
              <w:pStyle w:val="Lijstalinea"/>
              <w:numPr>
                <w:ilvl w:val="0"/>
                <w:numId w:val="1"/>
              </w:numPr>
              <w:spacing w:before="120" w:after="120"/>
              <w:ind w:right="74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Sustainable WASH service delivery continues to be a key priority for the GRSS and the government of EES</w:t>
            </w:r>
          </w:p>
          <w:p w:rsidR="003C31A4" w:rsidRPr="00691CC3" w:rsidRDefault="003C31A4" w:rsidP="00EB2635">
            <w:pPr>
              <w:pStyle w:val="Lijstalinea"/>
              <w:numPr>
                <w:ilvl w:val="0"/>
                <w:numId w:val="1"/>
              </w:numPr>
              <w:spacing w:before="120" w:after="120"/>
              <w:ind w:right="74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Financial capacity of GRSS, financial transfers to subnational level and resources (financial/institutional/physical) at subnational level are sufficient for sustainable development and management of WASH services</w:t>
            </w:r>
          </w:p>
          <w:p w:rsidR="003C31A4" w:rsidRPr="00691CC3" w:rsidRDefault="003C31A4" w:rsidP="00EB2635">
            <w:pPr>
              <w:pStyle w:val="Lijstalinea"/>
              <w:numPr>
                <w:ilvl w:val="0"/>
                <w:numId w:val="1"/>
              </w:numPr>
              <w:spacing w:before="120" w:after="120"/>
              <w:ind w:right="74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Continued focus of donors on development support in the WASH sector (in addition to emergency relief)</w:t>
            </w:r>
          </w:p>
          <w:p w:rsidR="003C31A4" w:rsidRPr="00BA79BC" w:rsidRDefault="003C31A4" w:rsidP="00EB2635">
            <w:pPr>
              <w:pStyle w:val="Lijstalinea"/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 w:cs="Arial"/>
                <w:color w:val="003768"/>
                <w:sz w:val="16"/>
                <w:szCs w:val="16"/>
              </w:rPr>
              <w:t xml:space="preserve">Number, composition and expertise of staff is adequate in view of the objectives of EES State and Torit and </w:t>
            </w:r>
            <w:proofErr w:type="spellStart"/>
            <w:r w:rsidRPr="00691CC3">
              <w:rPr>
                <w:rFonts w:ascii="Arial" w:hAnsi="Arial" w:cs="Arial"/>
                <w:color w:val="003768"/>
                <w:sz w:val="16"/>
                <w:szCs w:val="16"/>
              </w:rPr>
              <w:t>Kapoeta</w:t>
            </w:r>
            <w:proofErr w:type="spellEnd"/>
            <w:r w:rsidRPr="00691CC3">
              <w:rPr>
                <w:rFonts w:ascii="Arial" w:hAnsi="Arial" w:cs="Arial"/>
                <w:color w:val="003768"/>
                <w:sz w:val="16"/>
                <w:szCs w:val="16"/>
              </w:rPr>
              <w:t xml:space="preserve"> North counties, and turn-over of staff and politicians is limited</w:t>
            </w:r>
          </w:p>
        </w:tc>
      </w:tr>
    </w:tbl>
    <w:p w:rsidR="003C31A4" w:rsidRPr="00691CC3" w:rsidRDefault="003C31A4" w:rsidP="003C31A4"/>
    <w:p w:rsidR="003C31A4" w:rsidRPr="00691CC3" w:rsidRDefault="003C31A4" w:rsidP="003C31A4">
      <w:r w:rsidRPr="00691CC3">
        <w:br w:type="page"/>
      </w:r>
    </w:p>
    <w:p w:rsidR="003C31A4" w:rsidRPr="00691CC3" w:rsidRDefault="003C31A4" w:rsidP="003C31A4"/>
    <w:tbl>
      <w:tblPr>
        <w:tblStyle w:val="Tabelraster"/>
        <w:tblW w:w="14940" w:type="dxa"/>
        <w:tblInd w:w="-113" w:type="dxa"/>
        <w:tblBorders>
          <w:top w:val="single" w:sz="4" w:space="0" w:color="FDB913"/>
          <w:left w:val="none" w:sz="0" w:space="0" w:color="auto"/>
          <w:bottom w:val="single" w:sz="4" w:space="0" w:color="FDB913"/>
          <w:right w:val="single" w:sz="4" w:space="0" w:color="FDB913"/>
          <w:insideH w:val="single" w:sz="4" w:space="0" w:color="FDB913"/>
          <w:insideV w:val="single" w:sz="4" w:space="0" w:color="FDB913"/>
        </w:tblBorders>
        <w:tblLook w:val="01E0" w:firstRow="1" w:lastRow="1" w:firstColumn="1" w:lastColumn="1" w:noHBand="0" w:noVBand="0"/>
      </w:tblPr>
      <w:tblGrid>
        <w:gridCol w:w="953"/>
        <w:gridCol w:w="3237"/>
        <w:gridCol w:w="4536"/>
        <w:gridCol w:w="2794"/>
        <w:gridCol w:w="3420"/>
      </w:tblGrid>
      <w:tr w:rsidR="003C31A4" w:rsidRPr="00691CC3" w:rsidTr="00EB2635">
        <w:tc>
          <w:tcPr>
            <w:tcW w:w="953" w:type="dxa"/>
          </w:tcPr>
          <w:p w:rsidR="003C31A4" w:rsidRPr="00691CC3" w:rsidRDefault="003C31A4" w:rsidP="00EB2635">
            <w:pPr>
              <w:spacing w:before="60" w:after="60"/>
              <w:rPr>
                <w:rFonts w:ascii="Arial" w:hAnsi="Arial"/>
                <w:color w:val="003768"/>
                <w:sz w:val="16"/>
                <w:szCs w:val="16"/>
              </w:rPr>
            </w:pPr>
          </w:p>
        </w:tc>
        <w:tc>
          <w:tcPr>
            <w:tcW w:w="13987" w:type="dxa"/>
            <w:gridSpan w:val="4"/>
            <w:shd w:val="clear" w:color="auto" w:fill="003768"/>
          </w:tcPr>
          <w:p w:rsidR="003C31A4" w:rsidRPr="00691CC3" w:rsidRDefault="003C31A4" w:rsidP="00EB2635">
            <w:pPr>
              <w:spacing w:before="60" w:after="60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691CC3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 xml:space="preserve">Result 1:  </w:t>
            </w:r>
            <w:r w:rsidRPr="00691CC3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Increased capacity of selected South Sudanese state and counties to provide services in the area of Water, Sanitation and Hygiene (WASH)</w:t>
            </w:r>
          </w:p>
        </w:tc>
      </w:tr>
      <w:tr w:rsidR="003C31A4" w:rsidRPr="00691CC3" w:rsidTr="00EB2635">
        <w:tc>
          <w:tcPr>
            <w:tcW w:w="953" w:type="dxa"/>
          </w:tcPr>
          <w:p w:rsidR="003C31A4" w:rsidRPr="00691CC3" w:rsidRDefault="003C31A4" w:rsidP="00EB2635">
            <w:pPr>
              <w:spacing w:before="60" w:after="60"/>
              <w:rPr>
                <w:rFonts w:ascii="Arial" w:hAnsi="Arial"/>
                <w:color w:val="003768"/>
                <w:sz w:val="16"/>
                <w:szCs w:val="16"/>
              </w:rPr>
            </w:pPr>
          </w:p>
        </w:tc>
        <w:tc>
          <w:tcPr>
            <w:tcW w:w="13987" w:type="dxa"/>
            <w:gridSpan w:val="4"/>
            <w:shd w:val="clear" w:color="auto" w:fill="FFEDCC"/>
          </w:tcPr>
          <w:p w:rsidR="003C31A4" w:rsidRPr="00691CC3" w:rsidRDefault="003C31A4" w:rsidP="00EB2635">
            <w:pPr>
              <w:tabs>
                <w:tab w:val="num" w:pos="720"/>
              </w:tabs>
              <w:spacing w:before="120" w:after="120"/>
              <w:ind w:right="72"/>
              <w:rPr>
                <w:rFonts w:ascii="Arial" w:hAnsi="Arial"/>
                <w:color w:val="003768"/>
                <w:sz w:val="18"/>
                <w:szCs w:val="18"/>
              </w:rPr>
            </w:pPr>
            <w:r w:rsidRPr="00691CC3">
              <w:rPr>
                <w:rFonts w:ascii="Arial" w:hAnsi="Arial"/>
                <w:b/>
                <w:color w:val="003768"/>
                <w:sz w:val="18"/>
                <w:szCs w:val="18"/>
              </w:rPr>
              <w:t>Activities</w:t>
            </w:r>
          </w:p>
        </w:tc>
      </w:tr>
      <w:tr w:rsidR="003C31A4" w:rsidRPr="00691CC3" w:rsidTr="00EB2635">
        <w:tc>
          <w:tcPr>
            <w:tcW w:w="953" w:type="dxa"/>
          </w:tcPr>
          <w:p w:rsidR="003C31A4" w:rsidRPr="00691CC3" w:rsidRDefault="003C31A4" w:rsidP="00EB2635">
            <w:pPr>
              <w:spacing w:before="60" w:after="60"/>
              <w:rPr>
                <w:rFonts w:ascii="Arial" w:hAnsi="Arial"/>
                <w:b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b/>
                <w:color w:val="003768"/>
                <w:sz w:val="16"/>
                <w:szCs w:val="16"/>
              </w:rPr>
              <w:t>1.1</w:t>
            </w:r>
          </w:p>
        </w:tc>
        <w:tc>
          <w:tcPr>
            <w:tcW w:w="3237" w:type="dxa"/>
          </w:tcPr>
          <w:p w:rsidR="003C31A4" w:rsidRPr="00691CC3" w:rsidRDefault="003C31A4" w:rsidP="00EB2635">
            <w:pPr>
              <w:spacing w:before="60" w:after="60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Baseline study to assess the capacity gaps in the field of WASH for fine-tuning the interventions</w:t>
            </w:r>
          </w:p>
        </w:tc>
        <w:tc>
          <w:tcPr>
            <w:tcW w:w="4536" w:type="dxa"/>
            <w:shd w:val="clear" w:color="auto" w:fill="BFBFBF" w:themeFill="background1" w:themeFillShade="BF"/>
          </w:tcPr>
          <w:p w:rsidR="003C31A4" w:rsidRPr="00691CC3" w:rsidRDefault="003C31A4" w:rsidP="00EB2635">
            <w:pPr>
              <w:spacing w:before="60" w:after="60"/>
              <w:rPr>
                <w:rFonts w:ascii="Arial" w:hAnsi="Arial"/>
                <w:color w:val="003768"/>
                <w:sz w:val="16"/>
                <w:szCs w:val="16"/>
              </w:rPr>
            </w:pPr>
          </w:p>
        </w:tc>
        <w:tc>
          <w:tcPr>
            <w:tcW w:w="2794" w:type="dxa"/>
            <w:shd w:val="clear" w:color="auto" w:fill="BFBFBF" w:themeFill="background1" w:themeFillShade="BF"/>
          </w:tcPr>
          <w:p w:rsidR="003C31A4" w:rsidRPr="00691CC3" w:rsidRDefault="003C31A4" w:rsidP="00EB2635">
            <w:pPr>
              <w:spacing w:before="60" w:after="60"/>
              <w:ind w:left="433"/>
              <w:rPr>
                <w:rFonts w:ascii="Arial" w:hAnsi="Arial"/>
                <w:color w:val="003768"/>
                <w:sz w:val="16"/>
                <w:szCs w:val="16"/>
              </w:rPr>
            </w:pPr>
          </w:p>
        </w:tc>
        <w:tc>
          <w:tcPr>
            <w:tcW w:w="3420" w:type="dxa"/>
            <w:vMerge w:val="restart"/>
          </w:tcPr>
          <w:p w:rsidR="003C31A4" w:rsidRPr="00691CC3" w:rsidRDefault="003C31A4" w:rsidP="00EB2635">
            <w:pPr>
              <w:pStyle w:val="Lijstalinea"/>
              <w:numPr>
                <w:ilvl w:val="0"/>
                <w:numId w:val="1"/>
              </w:numPr>
              <w:spacing w:before="120" w:after="120"/>
              <w:ind w:right="74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 xml:space="preserve">Continued commitment, absorption capacity, participation and political support from target group to learn and acquire new skills </w:t>
            </w:r>
          </w:p>
          <w:p w:rsidR="003C31A4" w:rsidRPr="00691CC3" w:rsidRDefault="003C31A4" w:rsidP="00EB2635">
            <w:pPr>
              <w:pStyle w:val="Lijstalinea"/>
              <w:numPr>
                <w:ilvl w:val="0"/>
                <w:numId w:val="1"/>
              </w:numPr>
              <w:spacing w:before="120" w:after="120"/>
              <w:ind w:right="74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 xml:space="preserve">Sufficiently stable political, security and social environment </w:t>
            </w:r>
          </w:p>
          <w:p w:rsidR="003C31A4" w:rsidRPr="00691CC3" w:rsidRDefault="003C31A4" w:rsidP="00EB2635">
            <w:pPr>
              <w:pStyle w:val="Lijstalinea"/>
              <w:numPr>
                <w:ilvl w:val="0"/>
                <w:numId w:val="1"/>
              </w:numPr>
              <w:spacing w:before="120" w:after="120"/>
              <w:ind w:right="74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Sufficient number and basic capacity of staff, and limited turn-over of politicians and technical staff</w:t>
            </w:r>
          </w:p>
          <w:p w:rsidR="003C31A4" w:rsidRPr="00C97604" w:rsidRDefault="003C31A4" w:rsidP="00EB2635">
            <w:pPr>
              <w:pStyle w:val="Lijstalinea"/>
              <w:numPr>
                <w:ilvl w:val="0"/>
                <w:numId w:val="1"/>
              </w:numPr>
              <w:spacing w:before="120" w:after="120"/>
              <w:ind w:right="74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Sufficient institutional/financial/physical resources</w:t>
            </w:r>
          </w:p>
        </w:tc>
      </w:tr>
      <w:tr w:rsidR="003C31A4" w:rsidRPr="00691CC3" w:rsidTr="00EB2635">
        <w:tc>
          <w:tcPr>
            <w:tcW w:w="953" w:type="dxa"/>
          </w:tcPr>
          <w:p w:rsidR="003C31A4" w:rsidRPr="00691CC3" w:rsidRDefault="003C31A4" w:rsidP="00EB2635">
            <w:pPr>
              <w:spacing w:before="60" w:after="60"/>
              <w:rPr>
                <w:rFonts w:ascii="Arial" w:hAnsi="Arial"/>
                <w:b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b/>
                <w:color w:val="003768"/>
                <w:sz w:val="16"/>
                <w:szCs w:val="16"/>
              </w:rPr>
              <w:t>1.2</w:t>
            </w:r>
          </w:p>
        </w:tc>
        <w:tc>
          <w:tcPr>
            <w:tcW w:w="3237" w:type="dxa"/>
          </w:tcPr>
          <w:p w:rsidR="003C31A4" w:rsidRPr="00691CC3" w:rsidRDefault="003C31A4" w:rsidP="00EB2635">
            <w:pPr>
              <w:spacing w:before="60" w:after="60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Workshops to confirm understanding of existing WASH related policies and legislation at relevant government levels</w:t>
            </w:r>
          </w:p>
        </w:tc>
        <w:tc>
          <w:tcPr>
            <w:tcW w:w="4536" w:type="dxa"/>
            <w:shd w:val="clear" w:color="auto" w:fill="BFBFBF" w:themeFill="background1" w:themeFillShade="BF"/>
          </w:tcPr>
          <w:p w:rsidR="003C31A4" w:rsidRPr="00691CC3" w:rsidRDefault="003C31A4" w:rsidP="00EB2635">
            <w:pPr>
              <w:spacing w:before="60" w:after="60"/>
              <w:rPr>
                <w:rFonts w:ascii="Arial" w:hAnsi="Arial"/>
                <w:color w:val="003768"/>
                <w:sz w:val="16"/>
                <w:szCs w:val="16"/>
              </w:rPr>
            </w:pPr>
          </w:p>
        </w:tc>
        <w:tc>
          <w:tcPr>
            <w:tcW w:w="2794" w:type="dxa"/>
            <w:shd w:val="clear" w:color="auto" w:fill="BFBFBF" w:themeFill="background1" w:themeFillShade="BF"/>
          </w:tcPr>
          <w:p w:rsidR="003C31A4" w:rsidRPr="00691CC3" w:rsidRDefault="003C31A4" w:rsidP="00EB2635">
            <w:pPr>
              <w:tabs>
                <w:tab w:val="num" w:pos="794"/>
              </w:tabs>
              <w:spacing w:before="60" w:after="60"/>
              <w:ind w:left="433"/>
              <w:rPr>
                <w:rFonts w:ascii="Arial" w:hAnsi="Arial"/>
                <w:color w:val="003768"/>
                <w:sz w:val="16"/>
                <w:szCs w:val="16"/>
              </w:rPr>
            </w:pPr>
          </w:p>
        </w:tc>
        <w:tc>
          <w:tcPr>
            <w:tcW w:w="3420" w:type="dxa"/>
            <w:vMerge/>
          </w:tcPr>
          <w:p w:rsidR="003C31A4" w:rsidRPr="00691CC3" w:rsidRDefault="003C31A4" w:rsidP="00EB2635">
            <w:pPr>
              <w:tabs>
                <w:tab w:val="num" w:pos="720"/>
              </w:tabs>
              <w:spacing w:before="120" w:after="120"/>
              <w:ind w:left="57" w:right="74"/>
              <w:rPr>
                <w:rFonts w:ascii="Arial" w:hAnsi="Arial"/>
                <w:color w:val="003768"/>
                <w:sz w:val="16"/>
                <w:szCs w:val="16"/>
              </w:rPr>
            </w:pPr>
          </w:p>
        </w:tc>
      </w:tr>
      <w:tr w:rsidR="003C31A4" w:rsidRPr="00691CC3" w:rsidTr="00EB2635">
        <w:tc>
          <w:tcPr>
            <w:tcW w:w="953" w:type="dxa"/>
          </w:tcPr>
          <w:p w:rsidR="003C31A4" w:rsidRPr="00691CC3" w:rsidRDefault="003C31A4" w:rsidP="00EB2635">
            <w:pPr>
              <w:spacing w:before="60" w:after="60"/>
              <w:rPr>
                <w:rFonts w:ascii="Arial" w:hAnsi="Arial"/>
                <w:b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b/>
                <w:color w:val="003768"/>
                <w:sz w:val="16"/>
                <w:szCs w:val="16"/>
              </w:rPr>
              <w:t>1.3</w:t>
            </w:r>
          </w:p>
        </w:tc>
        <w:tc>
          <w:tcPr>
            <w:tcW w:w="3237" w:type="dxa"/>
          </w:tcPr>
          <w:p w:rsidR="003C31A4" w:rsidRPr="00691CC3" w:rsidRDefault="003C31A4" w:rsidP="00EB2635">
            <w:pPr>
              <w:spacing w:before="60" w:after="60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Training and on-the-job coaching on participatory methods for policy formulation and the translation of national policies into state or county plans and strategies</w:t>
            </w:r>
          </w:p>
        </w:tc>
        <w:tc>
          <w:tcPr>
            <w:tcW w:w="4536" w:type="dxa"/>
            <w:shd w:val="clear" w:color="auto" w:fill="BFBFBF" w:themeFill="background1" w:themeFillShade="BF"/>
          </w:tcPr>
          <w:p w:rsidR="003C31A4" w:rsidRPr="00691CC3" w:rsidRDefault="003C31A4" w:rsidP="00EB2635">
            <w:pPr>
              <w:spacing w:before="60" w:after="60"/>
              <w:rPr>
                <w:rFonts w:ascii="Arial" w:hAnsi="Arial"/>
                <w:color w:val="003768"/>
                <w:sz w:val="16"/>
                <w:szCs w:val="16"/>
              </w:rPr>
            </w:pPr>
          </w:p>
        </w:tc>
        <w:tc>
          <w:tcPr>
            <w:tcW w:w="2794" w:type="dxa"/>
            <w:shd w:val="clear" w:color="auto" w:fill="BFBFBF" w:themeFill="background1" w:themeFillShade="BF"/>
          </w:tcPr>
          <w:p w:rsidR="003C31A4" w:rsidRPr="00691CC3" w:rsidRDefault="003C31A4" w:rsidP="00EB2635">
            <w:pPr>
              <w:spacing w:before="60" w:after="60"/>
              <w:rPr>
                <w:rFonts w:ascii="Arial" w:hAnsi="Arial"/>
                <w:color w:val="003768"/>
                <w:sz w:val="16"/>
                <w:szCs w:val="16"/>
              </w:rPr>
            </w:pPr>
          </w:p>
        </w:tc>
        <w:tc>
          <w:tcPr>
            <w:tcW w:w="3420" w:type="dxa"/>
            <w:vMerge/>
          </w:tcPr>
          <w:p w:rsidR="003C31A4" w:rsidRPr="00691CC3" w:rsidRDefault="003C31A4" w:rsidP="00EB2635">
            <w:pPr>
              <w:tabs>
                <w:tab w:val="num" w:pos="720"/>
              </w:tabs>
              <w:spacing w:before="120" w:after="120"/>
              <w:ind w:left="57" w:right="74"/>
              <w:rPr>
                <w:rFonts w:ascii="Arial" w:hAnsi="Arial"/>
                <w:color w:val="003768"/>
                <w:sz w:val="16"/>
                <w:szCs w:val="16"/>
              </w:rPr>
            </w:pPr>
          </w:p>
        </w:tc>
      </w:tr>
      <w:tr w:rsidR="003C31A4" w:rsidRPr="00691CC3" w:rsidTr="00EB2635">
        <w:tc>
          <w:tcPr>
            <w:tcW w:w="953" w:type="dxa"/>
          </w:tcPr>
          <w:p w:rsidR="003C31A4" w:rsidRPr="00691CC3" w:rsidRDefault="003C31A4" w:rsidP="00EB2635">
            <w:pPr>
              <w:spacing w:before="60" w:after="60"/>
              <w:rPr>
                <w:rFonts w:ascii="Arial" w:hAnsi="Arial"/>
                <w:b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b/>
                <w:color w:val="003768"/>
                <w:sz w:val="16"/>
                <w:szCs w:val="16"/>
              </w:rPr>
              <w:t>1.4</w:t>
            </w:r>
          </w:p>
        </w:tc>
        <w:tc>
          <w:tcPr>
            <w:tcW w:w="3237" w:type="dxa"/>
          </w:tcPr>
          <w:p w:rsidR="003C31A4" w:rsidRPr="00691CC3" w:rsidRDefault="003C31A4" w:rsidP="00EB2635">
            <w:pPr>
              <w:spacing w:before="60" w:after="60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Workshops to identify alternative cost-recovery mechanisms for WASH services (incl. study of best practices of other local governments, for example through organising study visits)</w:t>
            </w:r>
          </w:p>
        </w:tc>
        <w:tc>
          <w:tcPr>
            <w:tcW w:w="4536" w:type="dxa"/>
            <w:shd w:val="clear" w:color="auto" w:fill="BFBFBF" w:themeFill="background1" w:themeFillShade="BF"/>
          </w:tcPr>
          <w:p w:rsidR="003C31A4" w:rsidRPr="00691CC3" w:rsidRDefault="003C31A4" w:rsidP="00EB2635">
            <w:pPr>
              <w:spacing w:before="60" w:after="60"/>
              <w:rPr>
                <w:rFonts w:ascii="Arial" w:hAnsi="Arial"/>
                <w:color w:val="003768"/>
                <w:sz w:val="16"/>
                <w:szCs w:val="16"/>
              </w:rPr>
            </w:pPr>
          </w:p>
        </w:tc>
        <w:tc>
          <w:tcPr>
            <w:tcW w:w="2794" w:type="dxa"/>
            <w:shd w:val="clear" w:color="auto" w:fill="BFBFBF" w:themeFill="background1" w:themeFillShade="BF"/>
          </w:tcPr>
          <w:p w:rsidR="003C31A4" w:rsidRPr="00691CC3" w:rsidRDefault="003C31A4" w:rsidP="00EB2635">
            <w:pPr>
              <w:spacing w:before="60" w:after="60"/>
              <w:ind w:left="433"/>
              <w:rPr>
                <w:rFonts w:ascii="Arial" w:hAnsi="Arial"/>
                <w:color w:val="003768"/>
                <w:sz w:val="16"/>
                <w:szCs w:val="16"/>
              </w:rPr>
            </w:pPr>
          </w:p>
        </w:tc>
        <w:tc>
          <w:tcPr>
            <w:tcW w:w="3420" w:type="dxa"/>
            <w:vMerge/>
          </w:tcPr>
          <w:p w:rsidR="003C31A4" w:rsidRPr="00691CC3" w:rsidRDefault="003C31A4" w:rsidP="00EB2635">
            <w:pPr>
              <w:spacing w:before="60" w:after="60"/>
              <w:rPr>
                <w:rFonts w:ascii="Arial" w:hAnsi="Arial"/>
                <w:color w:val="003768"/>
                <w:sz w:val="16"/>
                <w:szCs w:val="16"/>
              </w:rPr>
            </w:pPr>
          </w:p>
        </w:tc>
      </w:tr>
      <w:tr w:rsidR="003C31A4" w:rsidRPr="00691CC3" w:rsidTr="00EB2635">
        <w:tc>
          <w:tcPr>
            <w:tcW w:w="953" w:type="dxa"/>
          </w:tcPr>
          <w:p w:rsidR="003C31A4" w:rsidRPr="00691CC3" w:rsidRDefault="003C31A4" w:rsidP="00EB2635">
            <w:pPr>
              <w:spacing w:before="60" w:after="60"/>
              <w:rPr>
                <w:rFonts w:ascii="Arial" w:hAnsi="Arial"/>
                <w:b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b/>
                <w:color w:val="003768"/>
                <w:sz w:val="16"/>
                <w:szCs w:val="16"/>
              </w:rPr>
              <w:t>1.5</w:t>
            </w:r>
          </w:p>
        </w:tc>
        <w:tc>
          <w:tcPr>
            <w:tcW w:w="3237" w:type="dxa"/>
          </w:tcPr>
          <w:p w:rsidR="003C31A4" w:rsidRPr="00691CC3" w:rsidRDefault="003C31A4" w:rsidP="00EB2635">
            <w:pPr>
              <w:spacing w:before="60" w:after="60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Workshops on the division of intergovernmental roles and responsibilities in the WASH sector (incl. organisation of a study visit to the MWRI and other relevant institutions in Juba, and joint assessment of intergovernmental mandates)</w:t>
            </w:r>
          </w:p>
        </w:tc>
        <w:tc>
          <w:tcPr>
            <w:tcW w:w="4536" w:type="dxa"/>
            <w:shd w:val="clear" w:color="auto" w:fill="BFBFBF" w:themeFill="background1" w:themeFillShade="BF"/>
          </w:tcPr>
          <w:p w:rsidR="003C31A4" w:rsidRPr="00691CC3" w:rsidRDefault="003C31A4" w:rsidP="00EB2635">
            <w:pPr>
              <w:spacing w:before="60" w:after="60"/>
              <w:rPr>
                <w:rFonts w:ascii="Arial" w:hAnsi="Arial"/>
                <w:color w:val="003768"/>
                <w:sz w:val="16"/>
                <w:szCs w:val="16"/>
              </w:rPr>
            </w:pPr>
          </w:p>
        </w:tc>
        <w:tc>
          <w:tcPr>
            <w:tcW w:w="2794" w:type="dxa"/>
            <w:shd w:val="clear" w:color="auto" w:fill="BFBFBF" w:themeFill="background1" w:themeFillShade="BF"/>
          </w:tcPr>
          <w:p w:rsidR="003C31A4" w:rsidRPr="00691CC3" w:rsidRDefault="003C31A4" w:rsidP="00EB2635">
            <w:pPr>
              <w:spacing w:before="60" w:after="60"/>
              <w:ind w:left="433"/>
              <w:rPr>
                <w:rFonts w:ascii="Arial" w:hAnsi="Arial"/>
                <w:color w:val="003768"/>
                <w:sz w:val="16"/>
                <w:szCs w:val="16"/>
              </w:rPr>
            </w:pPr>
          </w:p>
        </w:tc>
        <w:tc>
          <w:tcPr>
            <w:tcW w:w="3420" w:type="dxa"/>
            <w:vMerge/>
          </w:tcPr>
          <w:p w:rsidR="003C31A4" w:rsidRPr="00691CC3" w:rsidRDefault="003C31A4" w:rsidP="00EB2635">
            <w:pPr>
              <w:spacing w:before="60" w:after="60"/>
              <w:rPr>
                <w:rFonts w:ascii="Arial" w:hAnsi="Arial"/>
                <w:color w:val="003768"/>
                <w:sz w:val="16"/>
                <w:szCs w:val="16"/>
              </w:rPr>
            </w:pPr>
          </w:p>
        </w:tc>
      </w:tr>
      <w:tr w:rsidR="003C31A4" w:rsidRPr="00691CC3" w:rsidTr="00EB2635">
        <w:tc>
          <w:tcPr>
            <w:tcW w:w="953" w:type="dxa"/>
          </w:tcPr>
          <w:p w:rsidR="003C31A4" w:rsidRPr="00691CC3" w:rsidRDefault="003C31A4" w:rsidP="00EB2635">
            <w:pPr>
              <w:spacing w:before="60" w:after="60"/>
              <w:rPr>
                <w:rFonts w:ascii="Arial" w:hAnsi="Arial"/>
                <w:b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b/>
                <w:color w:val="003768"/>
                <w:sz w:val="16"/>
                <w:szCs w:val="16"/>
              </w:rPr>
              <w:t>1.6</w:t>
            </w:r>
          </w:p>
        </w:tc>
        <w:tc>
          <w:tcPr>
            <w:tcW w:w="3237" w:type="dxa"/>
          </w:tcPr>
          <w:p w:rsidR="003C31A4" w:rsidRPr="00691CC3" w:rsidRDefault="003C31A4" w:rsidP="00EB2635">
            <w:pPr>
              <w:spacing w:before="60" w:after="60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Training and on-the-job coaching on lobby &amp; advocacy methods (incl. awareness raising campaigns, stakeholder assessments, facilitation of local governments’ contribution to WASH sector platforms)</w:t>
            </w:r>
          </w:p>
        </w:tc>
        <w:tc>
          <w:tcPr>
            <w:tcW w:w="4536" w:type="dxa"/>
            <w:shd w:val="clear" w:color="auto" w:fill="BFBFBF" w:themeFill="background1" w:themeFillShade="BF"/>
          </w:tcPr>
          <w:p w:rsidR="003C31A4" w:rsidRPr="00691CC3" w:rsidRDefault="003C31A4" w:rsidP="00EB2635">
            <w:pPr>
              <w:spacing w:before="60" w:after="60"/>
              <w:rPr>
                <w:rFonts w:ascii="Arial" w:hAnsi="Arial"/>
                <w:color w:val="003768"/>
                <w:sz w:val="16"/>
                <w:szCs w:val="16"/>
              </w:rPr>
            </w:pPr>
          </w:p>
        </w:tc>
        <w:tc>
          <w:tcPr>
            <w:tcW w:w="2794" w:type="dxa"/>
            <w:shd w:val="clear" w:color="auto" w:fill="BFBFBF" w:themeFill="background1" w:themeFillShade="BF"/>
          </w:tcPr>
          <w:p w:rsidR="003C31A4" w:rsidRPr="00691CC3" w:rsidRDefault="003C31A4" w:rsidP="00EB2635">
            <w:pPr>
              <w:spacing w:before="60" w:after="60"/>
              <w:ind w:left="433"/>
              <w:rPr>
                <w:rFonts w:ascii="Arial" w:hAnsi="Arial"/>
                <w:color w:val="003768"/>
                <w:sz w:val="16"/>
                <w:szCs w:val="16"/>
              </w:rPr>
            </w:pPr>
          </w:p>
        </w:tc>
        <w:tc>
          <w:tcPr>
            <w:tcW w:w="3420" w:type="dxa"/>
            <w:vMerge/>
          </w:tcPr>
          <w:p w:rsidR="003C31A4" w:rsidRPr="00691CC3" w:rsidRDefault="003C31A4" w:rsidP="00EB2635">
            <w:pPr>
              <w:spacing w:before="60" w:after="60"/>
              <w:rPr>
                <w:rFonts w:ascii="Arial" w:hAnsi="Arial"/>
                <w:color w:val="003768"/>
                <w:sz w:val="16"/>
                <w:szCs w:val="16"/>
              </w:rPr>
            </w:pPr>
          </w:p>
        </w:tc>
      </w:tr>
      <w:tr w:rsidR="003C31A4" w:rsidRPr="00691CC3" w:rsidTr="00EB2635">
        <w:tc>
          <w:tcPr>
            <w:tcW w:w="953" w:type="dxa"/>
          </w:tcPr>
          <w:p w:rsidR="003C31A4" w:rsidRPr="00691CC3" w:rsidRDefault="003C31A4" w:rsidP="00EB2635">
            <w:pPr>
              <w:spacing w:before="60" w:after="60"/>
              <w:rPr>
                <w:rFonts w:ascii="Arial" w:hAnsi="Arial"/>
                <w:b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b/>
                <w:color w:val="003768"/>
                <w:sz w:val="16"/>
                <w:szCs w:val="16"/>
              </w:rPr>
              <w:t>1.7</w:t>
            </w:r>
          </w:p>
        </w:tc>
        <w:tc>
          <w:tcPr>
            <w:tcW w:w="3237" w:type="dxa"/>
          </w:tcPr>
          <w:p w:rsidR="003C31A4" w:rsidRPr="00691CC3" w:rsidRDefault="003C31A4" w:rsidP="00EB2635">
            <w:pPr>
              <w:spacing w:before="60" w:after="60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Training and on-the-job coaching on WASH policy implementation (incl. planning, budgeting, and HRM), incl. study visits to other local governments</w:t>
            </w:r>
          </w:p>
        </w:tc>
        <w:tc>
          <w:tcPr>
            <w:tcW w:w="4536" w:type="dxa"/>
            <w:shd w:val="clear" w:color="auto" w:fill="BFBFBF" w:themeFill="background1" w:themeFillShade="BF"/>
          </w:tcPr>
          <w:p w:rsidR="003C31A4" w:rsidRPr="00691CC3" w:rsidRDefault="003C31A4" w:rsidP="00EB2635">
            <w:pPr>
              <w:spacing w:before="60" w:after="60"/>
              <w:rPr>
                <w:rFonts w:ascii="Arial" w:hAnsi="Arial"/>
                <w:color w:val="003768"/>
                <w:sz w:val="16"/>
                <w:szCs w:val="16"/>
              </w:rPr>
            </w:pPr>
          </w:p>
        </w:tc>
        <w:tc>
          <w:tcPr>
            <w:tcW w:w="2794" w:type="dxa"/>
            <w:shd w:val="clear" w:color="auto" w:fill="BFBFBF" w:themeFill="background1" w:themeFillShade="BF"/>
          </w:tcPr>
          <w:p w:rsidR="003C31A4" w:rsidRPr="00691CC3" w:rsidRDefault="003C31A4" w:rsidP="00EB2635">
            <w:pPr>
              <w:spacing w:before="60" w:after="60"/>
              <w:ind w:left="433"/>
              <w:rPr>
                <w:rFonts w:ascii="Arial" w:hAnsi="Arial"/>
                <w:color w:val="003768"/>
                <w:sz w:val="16"/>
                <w:szCs w:val="16"/>
              </w:rPr>
            </w:pPr>
          </w:p>
        </w:tc>
        <w:tc>
          <w:tcPr>
            <w:tcW w:w="3420" w:type="dxa"/>
            <w:vMerge/>
          </w:tcPr>
          <w:p w:rsidR="003C31A4" w:rsidRPr="00691CC3" w:rsidRDefault="003C31A4" w:rsidP="00EB2635"/>
        </w:tc>
      </w:tr>
      <w:tr w:rsidR="003C31A4" w:rsidRPr="00691CC3" w:rsidTr="00EB2635">
        <w:tc>
          <w:tcPr>
            <w:tcW w:w="953" w:type="dxa"/>
          </w:tcPr>
          <w:p w:rsidR="003C31A4" w:rsidRPr="00691CC3" w:rsidRDefault="003C31A4" w:rsidP="00EB2635">
            <w:pPr>
              <w:spacing w:before="60" w:after="60"/>
              <w:rPr>
                <w:rFonts w:ascii="Arial" w:hAnsi="Arial"/>
                <w:b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b/>
                <w:color w:val="003768"/>
                <w:sz w:val="16"/>
                <w:szCs w:val="16"/>
              </w:rPr>
              <w:t>1.8</w:t>
            </w:r>
          </w:p>
        </w:tc>
        <w:tc>
          <w:tcPr>
            <w:tcW w:w="3237" w:type="dxa"/>
          </w:tcPr>
          <w:p w:rsidR="003C31A4" w:rsidRPr="00691CC3" w:rsidRDefault="003C31A4" w:rsidP="00EB2635">
            <w:pPr>
              <w:spacing w:before="60" w:after="60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 xml:space="preserve">On-the-job coaching in piloting selected cost-recovery mechanisms (incl. setting up, implementing and monitoring) with a view to financial sustainability of WASH </w:t>
            </w:r>
            <w:r w:rsidRPr="00691CC3">
              <w:rPr>
                <w:rFonts w:ascii="Arial" w:hAnsi="Arial"/>
                <w:color w:val="003768"/>
                <w:sz w:val="16"/>
                <w:szCs w:val="16"/>
              </w:rPr>
              <w:lastRenderedPageBreak/>
              <w:t>services</w:t>
            </w:r>
          </w:p>
        </w:tc>
        <w:tc>
          <w:tcPr>
            <w:tcW w:w="4536" w:type="dxa"/>
            <w:shd w:val="clear" w:color="auto" w:fill="BFBFBF" w:themeFill="background1" w:themeFillShade="BF"/>
          </w:tcPr>
          <w:p w:rsidR="003C31A4" w:rsidRPr="00691CC3" w:rsidRDefault="003C31A4" w:rsidP="00EB2635">
            <w:pPr>
              <w:spacing w:before="60" w:after="60"/>
              <w:rPr>
                <w:rFonts w:ascii="Arial" w:hAnsi="Arial"/>
                <w:color w:val="003768"/>
                <w:sz w:val="16"/>
                <w:szCs w:val="16"/>
              </w:rPr>
            </w:pPr>
          </w:p>
        </w:tc>
        <w:tc>
          <w:tcPr>
            <w:tcW w:w="2794" w:type="dxa"/>
            <w:shd w:val="clear" w:color="auto" w:fill="BFBFBF" w:themeFill="background1" w:themeFillShade="BF"/>
          </w:tcPr>
          <w:p w:rsidR="003C31A4" w:rsidRPr="00691CC3" w:rsidRDefault="003C31A4" w:rsidP="00EB2635">
            <w:pPr>
              <w:spacing w:before="60" w:after="60"/>
              <w:ind w:left="433"/>
              <w:rPr>
                <w:rFonts w:ascii="Arial" w:hAnsi="Arial"/>
                <w:color w:val="003768"/>
                <w:sz w:val="16"/>
                <w:szCs w:val="16"/>
              </w:rPr>
            </w:pPr>
          </w:p>
        </w:tc>
        <w:tc>
          <w:tcPr>
            <w:tcW w:w="3420" w:type="dxa"/>
            <w:vMerge/>
          </w:tcPr>
          <w:p w:rsidR="003C31A4" w:rsidRPr="00691CC3" w:rsidRDefault="003C31A4" w:rsidP="00EB2635"/>
        </w:tc>
      </w:tr>
      <w:tr w:rsidR="003C31A4" w:rsidRPr="00691CC3" w:rsidTr="00EB2635">
        <w:tc>
          <w:tcPr>
            <w:tcW w:w="953" w:type="dxa"/>
          </w:tcPr>
          <w:p w:rsidR="003C31A4" w:rsidRPr="00691CC3" w:rsidRDefault="003C31A4" w:rsidP="00EB2635">
            <w:pPr>
              <w:spacing w:before="60" w:after="60"/>
              <w:rPr>
                <w:rFonts w:ascii="Arial" w:hAnsi="Arial"/>
                <w:b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b/>
                <w:color w:val="003768"/>
                <w:sz w:val="16"/>
                <w:szCs w:val="16"/>
              </w:rPr>
              <w:lastRenderedPageBreak/>
              <w:t>1.9</w:t>
            </w:r>
          </w:p>
        </w:tc>
        <w:tc>
          <w:tcPr>
            <w:tcW w:w="3237" w:type="dxa"/>
          </w:tcPr>
          <w:p w:rsidR="003C31A4" w:rsidRPr="00691CC3" w:rsidRDefault="003C31A4" w:rsidP="00EB2635">
            <w:pPr>
              <w:spacing w:before="60" w:after="60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 xml:space="preserve">Training and on-the-job coaching on community participation methods in WASH management and maintenance (e.g. community consultation sessions at </w:t>
            </w:r>
            <w:proofErr w:type="spellStart"/>
            <w:r w:rsidRPr="00691CC3">
              <w:rPr>
                <w:rFonts w:ascii="Arial" w:hAnsi="Arial"/>
                <w:color w:val="003768"/>
                <w:sz w:val="16"/>
                <w:szCs w:val="16"/>
              </w:rPr>
              <w:t>payam</w:t>
            </w:r>
            <w:proofErr w:type="spellEnd"/>
            <w:r w:rsidRPr="00691CC3">
              <w:rPr>
                <w:rFonts w:ascii="Arial" w:hAnsi="Arial"/>
                <w:color w:val="003768"/>
                <w:sz w:val="16"/>
                <w:szCs w:val="16"/>
              </w:rPr>
              <w:t xml:space="preserve"> and </w:t>
            </w:r>
            <w:proofErr w:type="spellStart"/>
            <w:r w:rsidRPr="00691CC3">
              <w:rPr>
                <w:rFonts w:ascii="Arial" w:hAnsi="Arial"/>
                <w:color w:val="003768"/>
                <w:sz w:val="16"/>
                <w:szCs w:val="16"/>
              </w:rPr>
              <w:t>boma</w:t>
            </w:r>
            <w:proofErr w:type="spellEnd"/>
            <w:r w:rsidRPr="00691CC3">
              <w:rPr>
                <w:rFonts w:ascii="Arial" w:hAnsi="Arial"/>
                <w:color w:val="003768"/>
                <w:sz w:val="16"/>
                <w:szCs w:val="16"/>
              </w:rPr>
              <w:t xml:space="preserve"> level, support to establishment of village WASH committees, and study visits to other local governments)</w:t>
            </w:r>
          </w:p>
        </w:tc>
        <w:tc>
          <w:tcPr>
            <w:tcW w:w="4536" w:type="dxa"/>
            <w:shd w:val="clear" w:color="auto" w:fill="BFBFBF" w:themeFill="background1" w:themeFillShade="BF"/>
          </w:tcPr>
          <w:p w:rsidR="003C31A4" w:rsidRPr="00691CC3" w:rsidRDefault="003C31A4" w:rsidP="00EB2635">
            <w:pPr>
              <w:spacing w:before="60" w:after="60"/>
              <w:rPr>
                <w:rFonts w:ascii="Arial" w:hAnsi="Arial"/>
                <w:color w:val="003768"/>
                <w:sz w:val="16"/>
                <w:szCs w:val="16"/>
              </w:rPr>
            </w:pPr>
          </w:p>
        </w:tc>
        <w:tc>
          <w:tcPr>
            <w:tcW w:w="2794" w:type="dxa"/>
            <w:shd w:val="clear" w:color="auto" w:fill="BFBFBF" w:themeFill="background1" w:themeFillShade="BF"/>
          </w:tcPr>
          <w:p w:rsidR="003C31A4" w:rsidRPr="00691CC3" w:rsidRDefault="003C31A4" w:rsidP="00EB2635">
            <w:pPr>
              <w:spacing w:before="60" w:after="60"/>
              <w:ind w:left="433"/>
              <w:rPr>
                <w:rFonts w:ascii="Arial" w:hAnsi="Arial"/>
                <w:color w:val="003768"/>
                <w:sz w:val="16"/>
                <w:szCs w:val="16"/>
              </w:rPr>
            </w:pPr>
          </w:p>
        </w:tc>
        <w:tc>
          <w:tcPr>
            <w:tcW w:w="3420" w:type="dxa"/>
            <w:vMerge/>
          </w:tcPr>
          <w:p w:rsidR="003C31A4" w:rsidRPr="00691CC3" w:rsidRDefault="003C31A4" w:rsidP="00EB2635"/>
        </w:tc>
      </w:tr>
    </w:tbl>
    <w:p w:rsidR="003C31A4" w:rsidRPr="00691CC3" w:rsidRDefault="003C31A4" w:rsidP="003C31A4">
      <w:pPr>
        <w:rPr>
          <w:rFonts w:ascii="Arial" w:hAnsi="Arial"/>
          <w:sz w:val="18"/>
          <w:szCs w:val="18"/>
        </w:rPr>
      </w:pPr>
    </w:p>
    <w:p w:rsidR="003C31A4" w:rsidRPr="00691CC3" w:rsidRDefault="003C31A4" w:rsidP="003C31A4">
      <w:pPr>
        <w:rPr>
          <w:rFonts w:ascii="Arial" w:hAnsi="Arial"/>
          <w:sz w:val="18"/>
          <w:szCs w:val="18"/>
        </w:rPr>
      </w:pPr>
    </w:p>
    <w:p w:rsidR="003C31A4" w:rsidRPr="00691CC3" w:rsidRDefault="003C31A4" w:rsidP="003C31A4">
      <w:pPr>
        <w:tabs>
          <w:tab w:val="num" w:pos="720"/>
        </w:tabs>
        <w:spacing w:before="120" w:after="120"/>
        <w:ind w:left="57" w:right="74"/>
        <w:rPr>
          <w:rFonts w:ascii="Arial" w:hAnsi="Arial"/>
          <w:b/>
          <w:color w:val="003768"/>
          <w:sz w:val="16"/>
          <w:szCs w:val="16"/>
        </w:rPr>
      </w:pPr>
      <w:r w:rsidRPr="00691CC3">
        <w:rPr>
          <w:rFonts w:ascii="Arial" w:hAnsi="Arial"/>
          <w:b/>
          <w:color w:val="003768"/>
          <w:sz w:val="16"/>
          <w:szCs w:val="16"/>
        </w:rPr>
        <w:t>Preconditions</w:t>
      </w:r>
    </w:p>
    <w:p w:rsidR="003C31A4" w:rsidRPr="00691CC3" w:rsidRDefault="003C31A4" w:rsidP="003C31A4">
      <w:pPr>
        <w:pStyle w:val="Lijstalinea"/>
        <w:numPr>
          <w:ilvl w:val="0"/>
          <w:numId w:val="3"/>
        </w:numPr>
        <w:spacing w:before="120" w:after="120"/>
        <w:ind w:right="74"/>
        <w:rPr>
          <w:rFonts w:ascii="Arial" w:hAnsi="Arial"/>
          <w:color w:val="003768"/>
          <w:sz w:val="16"/>
          <w:szCs w:val="16"/>
        </w:rPr>
      </w:pPr>
      <w:r w:rsidRPr="00691CC3">
        <w:rPr>
          <w:rFonts w:ascii="Arial" w:hAnsi="Arial"/>
          <w:color w:val="003768"/>
          <w:sz w:val="16"/>
          <w:szCs w:val="16"/>
        </w:rPr>
        <w:t>Political, security and social environment allows the intended pace and volume of activities</w:t>
      </w:r>
    </w:p>
    <w:p w:rsidR="003C31A4" w:rsidRPr="00691CC3" w:rsidRDefault="003C31A4" w:rsidP="003C31A4">
      <w:pPr>
        <w:pStyle w:val="Lijstalinea"/>
        <w:numPr>
          <w:ilvl w:val="0"/>
          <w:numId w:val="3"/>
        </w:numPr>
        <w:spacing w:before="120" w:after="120"/>
        <w:ind w:right="74"/>
        <w:rPr>
          <w:rFonts w:ascii="Arial" w:hAnsi="Arial"/>
          <w:color w:val="003768"/>
          <w:sz w:val="16"/>
          <w:szCs w:val="16"/>
        </w:rPr>
      </w:pPr>
      <w:r w:rsidRPr="00691CC3">
        <w:rPr>
          <w:rFonts w:ascii="Arial" w:hAnsi="Arial"/>
          <w:color w:val="003768"/>
          <w:sz w:val="16"/>
          <w:szCs w:val="16"/>
        </w:rPr>
        <w:t>Inflation rate will not significantly affect the volume and scope of activities</w:t>
      </w:r>
    </w:p>
    <w:p w:rsidR="00055D11" w:rsidRPr="003C31A4" w:rsidRDefault="00055D11">
      <w:pPr>
        <w:rPr>
          <w:rFonts w:ascii="Arial" w:hAnsi="Arial"/>
          <w:sz w:val="18"/>
          <w:szCs w:val="18"/>
        </w:rPr>
      </w:pPr>
    </w:p>
    <w:sectPr w:rsidR="00055D11" w:rsidRPr="003C31A4" w:rsidSect="003C31A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8B6" w:rsidRDefault="004558B6">
      <w:r>
        <w:separator/>
      </w:r>
    </w:p>
  </w:endnote>
  <w:endnote w:type="continuationSeparator" w:id="0">
    <w:p w:rsidR="004558B6" w:rsidRDefault="00455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8B6" w:rsidRDefault="004558B6">
      <w:r>
        <w:separator/>
      </w:r>
    </w:p>
  </w:footnote>
  <w:footnote w:type="continuationSeparator" w:id="0">
    <w:p w:rsidR="004558B6" w:rsidRDefault="004558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raster"/>
      <w:tblW w:w="15660" w:type="dxa"/>
      <w:tblInd w:w="-792" w:type="dxa"/>
      <w:tblLook w:val="01E0" w:firstRow="1" w:lastRow="1" w:firstColumn="1" w:lastColumn="1" w:noHBand="0" w:noVBand="0"/>
    </w:tblPr>
    <w:tblGrid>
      <w:gridCol w:w="1800"/>
      <w:gridCol w:w="3420"/>
      <w:gridCol w:w="9180"/>
      <w:gridCol w:w="1260"/>
    </w:tblGrid>
    <w:tr w:rsidR="005B5F08" w:rsidRPr="0088562B">
      <w:trPr>
        <w:trHeight w:val="540"/>
      </w:trPr>
      <w:tc>
        <w:tcPr>
          <w:tcW w:w="1800" w:type="dxa"/>
          <w:tcBorders>
            <w:top w:val="nil"/>
            <w:left w:val="nil"/>
            <w:bottom w:val="single" w:sz="4" w:space="0" w:color="FDB913"/>
            <w:right w:val="single" w:sz="24" w:space="0" w:color="FDB913"/>
          </w:tcBorders>
        </w:tcPr>
        <w:p w:rsidR="005B5F08" w:rsidRPr="0088562B" w:rsidRDefault="004558B6">
          <w:pPr>
            <w:pStyle w:val="Koptekst"/>
          </w:pPr>
        </w:p>
      </w:tc>
      <w:tc>
        <w:tcPr>
          <w:tcW w:w="3420" w:type="dxa"/>
          <w:tcBorders>
            <w:top w:val="nil"/>
            <w:left w:val="single" w:sz="24" w:space="0" w:color="FDB913"/>
            <w:bottom w:val="single" w:sz="4" w:space="0" w:color="FDB913"/>
            <w:right w:val="single" w:sz="24" w:space="0" w:color="FDB913"/>
          </w:tcBorders>
          <w:vAlign w:val="center"/>
        </w:tcPr>
        <w:p w:rsidR="005B5F08" w:rsidRPr="00F43EF8" w:rsidRDefault="003C31A4" w:rsidP="00DE0251">
          <w:pPr>
            <w:pStyle w:val="Koptekst"/>
            <w:ind w:left="252"/>
            <w:rPr>
              <w:rFonts w:ascii="Arial" w:hAnsi="Arial"/>
              <w:color w:val="003769"/>
            </w:rPr>
          </w:pPr>
          <w:r w:rsidRPr="00F43EF8">
            <w:rPr>
              <w:rFonts w:ascii="Arial" w:hAnsi="Arial"/>
              <w:color w:val="003769"/>
            </w:rPr>
            <w:t>LOGICAL FRAMEWORK</w:t>
          </w:r>
        </w:p>
      </w:tc>
      <w:tc>
        <w:tcPr>
          <w:tcW w:w="9180" w:type="dxa"/>
          <w:tcBorders>
            <w:top w:val="nil"/>
            <w:left w:val="single" w:sz="24" w:space="0" w:color="FDB913"/>
            <w:bottom w:val="single" w:sz="4" w:space="0" w:color="FDB913"/>
            <w:right w:val="single" w:sz="24" w:space="0" w:color="FDB913"/>
          </w:tcBorders>
          <w:vAlign w:val="center"/>
        </w:tcPr>
        <w:p w:rsidR="005B5F08" w:rsidRPr="00F43EF8" w:rsidRDefault="005B07C0" w:rsidP="00DE0251">
          <w:pPr>
            <w:pStyle w:val="Koptekst"/>
            <w:ind w:left="252"/>
            <w:rPr>
              <w:rFonts w:ascii="Arial" w:hAnsi="Arial"/>
              <w:color w:val="003769"/>
            </w:rPr>
          </w:pPr>
          <w:r>
            <w:rPr>
              <w:rFonts w:ascii="Arial" w:hAnsi="Arial"/>
              <w:color w:val="003769"/>
            </w:rPr>
            <w:t>LGCP South Sudan programme</w:t>
          </w:r>
        </w:p>
      </w:tc>
      <w:tc>
        <w:tcPr>
          <w:tcW w:w="1260" w:type="dxa"/>
          <w:tcBorders>
            <w:top w:val="nil"/>
            <w:left w:val="single" w:sz="24" w:space="0" w:color="FDB913"/>
            <w:bottom w:val="single" w:sz="4" w:space="0" w:color="FDB913"/>
            <w:right w:val="nil"/>
          </w:tcBorders>
          <w:vAlign w:val="center"/>
        </w:tcPr>
        <w:p w:rsidR="005B5F08" w:rsidRPr="00F43EF8" w:rsidRDefault="003C31A4" w:rsidP="00DE0251">
          <w:pPr>
            <w:pStyle w:val="Koptekst"/>
            <w:ind w:left="252"/>
            <w:rPr>
              <w:rFonts w:ascii="Arial" w:hAnsi="Arial"/>
              <w:color w:val="003769"/>
            </w:rPr>
          </w:pPr>
          <w:r w:rsidRPr="00F43EF8">
            <w:rPr>
              <w:rFonts w:ascii="Arial" w:hAnsi="Arial"/>
              <w:color w:val="003769"/>
            </w:rPr>
            <w:fldChar w:fldCharType="begin"/>
          </w:r>
          <w:r w:rsidRPr="00F43EF8">
            <w:rPr>
              <w:rFonts w:ascii="Arial" w:hAnsi="Arial"/>
              <w:color w:val="003769"/>
            </w:rPr>
            <w:instrText xml:space="preserve"> PAGE </w:instrText>
          </w:r>
          <w:r w:rsidRPr="00F43EF8">
            <w:rPr>
              <w:rFonts w:ascii="Arial" w:hAnsi="Arial"/>
              <w:color w:val="003769"/>
            </w:rPr>
            <w:fldChar w:fldCharType="separate"/>
          </w:r>
          <w:r w:rsidR="005B07C0">
            <w:rPr>
              <w:rFonts w:ascii="Arial" w:hAnsi="Arial"/>
              <w:noProof/>
              <w:color w:val="003769"/>
            </w:rPr>
            <w:t>1</w:t>
          </w:r>
          <w:r w:rsidRPr="00F43EF8">
            <w:rPr>
              <w:rFonts w:ascii="Arial" w:hAnsi="Arial"/>
              <w:color w:val="003769"/>
            </w:rPr>
            <w:fldChar w:fldCharType="end"/>
          </w:r>
          <w:r w:rsidRPr="00F43EF8">
            <w:rPr>
              <w:rFonts w:ascii="Arial" w:hAnsi="Arial"/>
              <w:color w:val="003769"/>
            </w:rPr>
            <w:t>/</w:t>
          </w:r>
          <w:r w:rsidRPr="00F43EF8">
            <w:rPr>
              <w:rFonts w:ascii="Arial" w:hAnsi="Arial"/>
              <w:color w:val="003769"/>
            </w:rPr>
            <w:fldChar w:fldCharType="begin"/>
          </w:r>
          <w:r w:rsidRPr="00F43EF8">
            <w:rPr>
              <w:rFonts w:ascii="Arial" w:hAnsi="Arial"/>
              <w:color w:val="003769"/>
            </w:rPr>
            <w:instrText xml:space="preserve"> NUMPAGES </w:instrText>
          </w:r>
          <w:r w:rsidRPr="00F43EF8">
            <w:rPr>
              <w:rFonts w:ascii="Arial" w:hAnsi="Arial"/>
              <w:color w:val="003769"/>
            </w:rPr>
            <w:fldChar w:fldCharType="separate"/>
          </w:r>
          <w:r w:rsidR="005B07C0">
            <w:rPr>
              <w:rFonts w:ascii="Arial" w:hAnsi="Arial"/>
              <w:noProof/>
              <w:color w:val="003769"/>
            </w:rPr>
            <w:t>4</w:t>
          </w:r>
          <w:r w:rsidRPr="00F43EF8">
            <w:rPr>
              <w:rFonts w:ascii="Arial" w:hAnsi="Arial"/>
              <w:color w:val="003769"/>
            </w:rPr>
            <w:fldChar w:fldCharType="end"/>
          </w: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C1322"/>
    <w:multiLevelType w:val="hybridMultilevel"/>
    <w:tmpl w:val="583C4B66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>
    <w:nsid w:val="1C88405B"/>
    <w:multiLevelType w:val="multilevel"/>
    <w:tmpl w:val="40184DD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">
    <w:nsid w:val="51CB288D"/>
    <w:multiLevelType w:val="multilevel"/>
    <w:tmpl w:val="D180AA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3">
    <w:nsid w:val="7A7114C7"/>
    <w:multiLevelType w:val="multilevel"/>
    <w:tmpl w:val="D180AA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4">
    <w:nsid w:val="7B036531"/>
    <w:multiLevelType w:val="hybridMultilevel"/>
    <w:tmpl w:val="45A66D10"/>
    <w:lvl w:ilvl="0" w:tplc="80EC64A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en-US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1A4"/>
    <w:rsid w:val="00042225"/>
    <w:rsid w:val="00055D11"/>
    <w:rsid w:val="00243969"/>
    <w:rsid w:val="003C31A4"/>
    <w:rsid w:val="004558B6"/>
    <w:rsid w:val="005153DA"/>
    <w:rsid w:val="005B07C0"/>
    <w:rsid w:val="00751B77"/>
    <w:rsid w:val="00A34245"/>
    <w:rsid w:val="00B16704"/>
    <w:rsid w:val="00D32CBA"/>
    <w:rsid w:val="00FC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theme="majorBidi"/>
        <w:iCs/>
        <w:szCs w:val="24"/>
        <w:lang w:val="nl-NL" w:eastAsia="nl-NL" w:bidi="ar-SA"/>
      </w:rPr>
    </w:rPrDefault>
    <w:pPrDefault>
      <w:pPr>
        <w:spacing w:line="312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3C31A4"/>
    <w:pPr>
      <w:spacing w:line="240" w:lineRule="auto"/>
    </w:pPr>
    <w:rPr>
      <w:rFonts w:ascii="Times New Roman" w:eastAsia="MS Mincho" w:hAnsi="Times New Roman" w:cs="Times New Roman"/>
      <w:iCs w:val="0"/>
      <w:sz w:val="24"/>
      <w:lang w:val="en-GB" w:eastAsia="en-GB"/>
    </w:rPr>
  </w:style>
  <w:style w:type="paragraph" w:styleId="Kop1">
    <w:name w:val="heading 1"/>
    <w:basedOn w:val="Standaard"/>
    <w:next w:val="Standaard"/>
    <w:link w:val="Kop1Char"/>
    <w:qFormat/>
    <w:rsid w:val="00243969"/>
    <w:pPr>
      <w:keepNext/>
      <w:keepLines/>
      <w:spacing w:before="120" w:after="120"/>
      <w:outlineLvl w:val="0"/>
    </w:pPr>
    <w:rPr>
      <w:rFonts w:eastAsiaTheme="majorEastAsia"/>
      <w:b/>
      <w:bCs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243969"/>
    <w:rPr>
      <w:rFonts w:eastAsiaTheme="majorEastAsia" w:cstheme="majorBidi"/>
      <w:b/>
      <w:bCs/>
      <w:sz w:val="24"/>
      <w:szCs w:val="28"/>
    </w:rPr>
  </w:style>
  <w:style w:type="paragraph" w:styleId="Ondertitel">
    <w:name w:val="Subtitle"/>
    <w:basedOn w:val="Standaard"/>
    <w:next w:val="Standaard"/>
    <w:link w:val="OndertitelChar"/>
    <w:qFormat/>
    <w:rsid w:val="00243969"/>
    <w:pPr>
      <w:numPr>
        <w:ilvl w:val="1"/>
      </w:numPr>
    </w:pPr>
    <w:rPr>
      <w:rFonts w:eastAsiaTheme="majorEastAsia"/>
      <w:i/>
      <w:iCs/>
      <w:spacing w:val="15"/>
    </w:rPr>
  </w:style>
  <w:style w:type="character" w:customStyle="1" w:styleId="OndertitelChar">
    <w:name w:val="Ondertitel Char"/>
    <w:basedOn w:val="Standaardalinea-lettertype"/>
    <w:link w:val="Ondertitel"/>
    <w:rsid w:val="00243969"/>
    <w:rPr>
      <w:rFonts w:eastAsiaTheme="majorEastAsia" w:cstheme="majorBidi"/>
      <w:i/>
      <w:iCs/>
      <w:spacing w:val="15"/>
    </w:rPr>
  </w:style>
  <w:style w:type="paragraph" w:styleId="Koptekst">
    <w:name w:val="header"/>
    <w:basedOn w:val="Standaard"/>
    <w:link w:val="KoptekstChar"/>
    <w:rsid w:val="003C31A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3C31A4"/>
    <w:rPr>
      <w:rFonts w:ascii="Times New Roman" w:eastAsia="MS Mincho" w:hAnsi="Times New Roman" w:cs="Times New Roman"/>
      <w:iCs w:val="0"/>
      <w:sz w:val="24"/>
      <w:lang w:val="en-GB" w:eastAsia="en-GB"/>
    </w:rPr>
  </w:style>
  <w:style w:type="table" w:styleId="Tabelraster">
    <w:name w:val="Table Grid"/>
    <w:basedOn w:val="Standaardtabel"/>
    <w:rsid w:val="003C31A4"/>
    <w:pPr>
      <w:spacing w:line="240" w:lineRule="auto"/>
    </w:pPr>
    <w:rPr>
      <w:rFonts w:ascii="Times New Roman" w:eastAsia="MS Mincho" w:hAnsi="Times New Roman" w:cs="Times New Roman"/>
      <w:iCs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link w:val="LijstalineaChar"/>
    <w:uiPriority w:val="99"/>
    <w:qFormat/>
    <w:rsid w:val="003C31A4"/>
    <w:pPr>
      <w:ind w:left="720"/>
      <w:contextualSpacing/>
    </w:pPr>
  </w:style>
  <w:style w:type="character" w:customStyle="1" w:styleId="LijstalineaChar">
    <w:name w:val="Lijstalinea Char"/>
    <w:basedOn w:val="Standaardalinea-lettertype"/>
    <w:link w:val="Lijstalinea"/>
    <w:uiPriority w:val="99"/>
    <w:rsid w:val="003C31A4"/>
    <w:rPr>
      <w:rFonts w:ascii="Times New Roman" w:eastAsia="MS Mincho" w:hAnsi="Times New Roman" w:cs="Times New Roman"/>
      <w:iCs w:val="0"/>
      <w:sz w:val="24"/>
      <w:lang w:val="en-GB" w:eastAsia="en-GB"/>
    </w:rPr>
  </w:style>
  <w:style w:type="paragraph" w:styleId="Voettekst">
    <w:name w:val="footer"/>
    <w:basedOn w:val="Standaard"/>
    <w:link w:val="VoettekstChar"/>
    <w:rsid w:val="005B07C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5B07C0"/>
    <w:rPr>
      <w:rFonts w:ascii="Times New Roman" w:eastAsia="MS Mincho" w:hAnsi="Times New Roman" w:cs="Times New Roman"/>
      <w:iCs w:val="0"/>
      <w:sz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theme="majorBidi"/>
        <w:iCs/>
        <w:szCs w:val="24"/>
        <w:lang w:val="nl-NL" w:eastAsia="nl-NL" w:bidi="ar-SA"/>
      </w:rPr>
    </w:rPrDefault>
    <w:pPrDefault>
      <w:pPr>
        <w:spacing w:line="312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3C31A4"/>
    <w:pPr>
      <w:spacing w:line="240" w:lineRule="auto"/>
    </w:pPr>
    <w:rPr>
      <w:rFonts w:ascii="Times New Roman" w:eastAsia="MS Mincho" w:hAnsi="Times New Roman" w:cs="Times New Roman"/>
      <w:iCs w:val="0"/>
      <w:sz w:val="24"/>
      <w:lang w:val="en-GB" w:eastAsia="en-GB"/>
    </w:rPr>
  </w:style>
  <w:style w:type="paragraph" w:styleId="Kop1">
    <w:name w:val="heading 1"/>
    <w:basedOn w:val="Standaard"/>
    <w:next w:val="Standaard"/>
    <w:link w:val="Kop1Char"/>
    <w:qFormat/>
    <w:rsid w:val="00243969"/>
    <w:pPr>
      <w:keepNext/>
      <w:keepLines/>
      <w:spacing w:before="120" w:after="120"/>
      <w:outlineLvl w:val="0"/>
    </w:pPr>
    <w:rPr>
      <w:rFonts w:eastAsiaTheme="majorEastAsia"/>
      <w:b/>
      <w:bCs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243969"/>
    <w:rPr>
      <w:rFonts w:eastAsiaTheme="majorEastAsia" w:cstheme="majorBidi"/>
      <w:b/>
      <w:bCs/>
      <w:sz w:val="24"/>
      <w:szCs w:val="28"/>
    </w:rPr>
  </w:style>
  <w:style w:type="paragraph" w:styleId="Ondertitel">
    <w:name w:val="Subtitle"/>
    <w:basedOn w:val="Standaard"/>
    <w:next w:val="Standaard"/>
    <w:link w:val="OndertitelChar"/>
    <w:qFormat/>
    <w:rsid w:val="00243969"/>
    <w:pPr>
      <w:numPr>
        <w:ilvl w:val="1"/>
      </w:numPr>
    </w:pPr>
    <w:rPr>
      <w:rFonts w:eastAsiaTheme="majorEastAsia"/>
      <w:i/>
      <w:iCs/>
      <w:spacing w:val="15"/>
    </w:rPr>
  </w:style>
  <w:style w:type="character" w:customStyle="1" w:styleId="OndertitelChar">
    <w:name w:val="Ondertitel Char"/>
    <w:basedOn w:val="Standaardalinea-lettertype"/>
    <w:link w:val="Ondertitel"/>
    <w:rsid w:val="00243969"/>
    <w:rPr>
      <w:rFonts w:eastAsiaTheme="majorEastAsia" w:cstheme="majorBidi"/>
      <w:i/>
      <w:iCs/>
      <w:spacing w:val="15"/>
    </w:rPr>
  </w:style>
  <w:style w:type="paragraph" w:styleId="Koptekst">
    <w:name w:val="header"/>
    <w:basedOn w:val="Standaard"/>
    <w:link w:val="KoptekstChar"/>
    <w:rsid w:val="003C31A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3C31A4"/>
    <w:rPr>
      <w:rFonts w:ascii="Times New Roman" w:eastAsia="MS Mincho" w:hAnsi="Times New Roman" w:cs="Times New Roman"/>
      <w:iCs w:val="0"/>
      <w:sz w:val="24"/>
      <w:lang w:val="en-GB" w:eastAsia="en-GB"/>
    </w:rPr>
  </w:style>
  <w:style w:type="table" w:styleId="Tabelraster">
    <w:name w:val="Table Grid"/>
    <w:basedOn w:val="Standaardtabel"/>
    <w:rsid w:val="003C31A4"/>
    <w:pPr>
      <w:spacing w:line="240" w:lineRule="auto"/>
    </w:pPr>
    <w:rPr>
      <w:rFonts w:ascii="Times New Roman" w:eastAsia="MS Mincho" w:hAnsi="Times New Roman" w:cs="Times New Roman"/>
      <w:iCs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link w:val="LijstalineaChar"/>
    <w:uiPriority w:val="99"/>
    <w:qFormat/>
    <w:rsid w:val="003C31A4"/>
    <w:pPr>
      <w:ind w:left="720"/>
      <w:contextualSpacing/>
    </w:pPr>
  </w:style>
  <w:style w:type="character" w:customStyle="1" w:styleId="LijstalineaChar">
    <w:name w:val="Lijstalinea Char"/>
    <w:basedOn w:val="Standaardalinea-lettertype"/>
    <w:link w:val="Lijstalinea"/>
    <w:uiPriority w:val="99"/>
    <w:rsid w:val="003C31A4"/>
    <w:rPr>
      <w:rFonts w:ascii="Times New Roman" w:eastAsia="MS Mincho" w:hAnsi="Times New Roman" w:cs="Times New Roman"/>
      <w:iCs w:val="0"/>
      <w:sz w:val="24"/>
      <w:lang w:val="en-GB" w:eastAsia="en-GB"/>
    </w:rPr>
  </w:style>
  <w:style w:type="paragraph" w:styleId="Voettekst">
    <w:name w:val="footer"/>
    <w:basedOn w:val="Standaard"/>
    <w:link w:val="VoettekstChar"/>
    <w:rsid w:val="005B07C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5B07C0"/>
    <w:rPr>
      <w:rFonts w:ascii="Times New Roman" w:eastAsia="MS Mincho" w:hAnsi="Times New Roman" w:cs="Times New Roman"/>
      <w:iCs w:val="0"/>
      <w:sz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966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Vereniging Nederlandse Gemeenten</Company>
  <LinksUpToDate>false</LinksUpToDate>
  <CharactersWithSpaces>6461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Anneloes Winkster</dc:creator>
  <cp:lastModifiedBy>Irene ten Teije</cp:lastModifiedBy>
  <cp:revision>2</cp:revision>
  <dcterms:created xsi:type="dcterms:W3CDTF">2015-10-30T15:16:00Z</dcterms:created>
  <dcterms:modified xsi:type="dcterms:W3CDTF">2015-10-30T15:16:00Z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SynDocOpportunityDesc">
    <vt:lpwstr>
    </vt:lpwstr>
  </property>
  <property fmtid="{D5CDD505-2E9C-101B-9397-08002B2CF9AE}" pid="3" name="eSynDocOpportunityID">
    <vt:lpwstr>
    </vt:lpwstr>
  </property>
  <property fmtid="{D5CDD505-2E9C-101B-9397-08002B2CF9AE}" pid="4" name="eSynDocAttachmentID">
    <vt:lpwstr>{c6c062b3-21f1-48de-b384-a2b1def38e08}</vt:lpwstr>
  </property>
  <property fmtid="{D5CDD505-2E9C-101B-9397-08002B2CF9AE}" pid="5" name="eSynDocContactDesc">
    <vt:lpwstr>
    </vt:lpwstr>
  </property>
  <property fmtid="{D5CDD505-2E9C-101B-9397-08002B2CF9AE}" pid="6" name="eSynDocAccountDesc">
    <vt:lpwstr>
    </vt:lpwstr>
  </property>
  <property fmtid="{D5CDD505-2E9C-101B-9397-08002B2CF9AE}" pid="7" name="eSynDocProjectDesc">
    <vt:lpwstr>* Country Programmes</vt:lpwstr>
  </property>
  <property fmtid="{D5CDD505-2E9C-101B-9397-08002B2CF9AE}" pid="8" name="eSynDocTransactionDesc">
    <vt:lpwstr>
    </vt:lpwstr>
  </property>
  <property fmtid="{D5CDD505-2E9C-101B-9397-08002B2CF9AE}" pid="9" name="eSynDocSerialDesc">
    <vt:lpwstr>
    </vt:lpwstr>
  </property>
  <property fmtid="{D5CDD505-2E9C-101B-9397-08002B2CF9AE}" pid="10" name="eSynDocItemDesc">
    <vt:lpwstr>
    </vt:lpwstr>
  </property>
  <property fmtid="{D5CDD505-2E9C-101B-9397-08002B2CF9AE}" pid="11" name="eSynDocResourceDesc">
    <vt:lpwstr>
    </vt:lpwstr>
  </property>
  <property fmtid="{D5CDD505-2E9C-101B-9397-08002B2CF9AE}" pid="12" name="eSynTransactionEntryKey">
    <vt:lpwstr>
    </vt:lpwstr>
  </property>
  <property fmtid="{D5CDD505-2E9C-101B-9397-08002B2CF9AE}" pid="13" name="eSynDocVersionStartDate">
    <vt:lpwstr>
    </vt:lpwstr>
  </property>
  <property fmtid="{D5CDD505-2E9C-101B-9397-08002B2CF9AE}" pid="14" name="eSynDocVersion">
    <vt:lpwstr>
    </vt:lpwstr>
  </property>
  <property fmtid="{D5CDD505-2E9C-101B-9397-08002B2CF9AE}" pid="15" name="eSynDocAttachFileName">
    <vt:lpwstr>South Sudan logical framework.docx</vt:lpwstr>
  </property>
  <property fmtid="{D5CDD505-2E9C-101B-9397-08002B2CF9AE}" pid="16" name="eSynDocSummary">
    <vt:lpwstr>
    </vt:lpwstr>
  </property>
  <property fmtid="{D5CDD505-2E9C-101B-9397-08002B2CF9AE}" pid="17" name="eSynDocPublish">
    <vt:lpwstr>0</vt:lpwstr>
  </property>
  <property fmtid="{D5CDD505-2E9C-101B-9397-08002B2CF9AE}" pid="18" name="eSynDocTypeID">
    <vt:lpwstr>148</vt:lpwstr>
  </property>
  <property fmtid="{D5CDD505-2E9C-101B-9397-08002B2CF9AE}" pid="19" name="eSynDocSerialNumber">
    <vt:lpwstr>
    </vt:lpwstr>
  </property>
  <property fmtid="{D5CDD505-2E9C-101B-9397-08002B2CF9AE}" pid="20" name="eSynDocSubject">
    <vt:lpwstr>New logical frameworks LGCP 2012-2016 (June 2015)</vt:lpwstr>
  </property>
  <property fmtid="{D5CDD505-2E9C-101B-9397-08002B2CF9AE}" pid="21" name="eSynDocItem">
    <vt:lpwstr>
    </vt:lpwstr>
  </property>
  <property fmtid="{D5CDD505-2E9C-101B-9397-08002B2CF9AE}" pid="22" name="eSynDocAcctContact">
    <vt:lpwstr>
    </vt:lpwstr>
  </property>
  <property fmtid="{D5CDD505-2E9C-101B-9397-08002B2CF9AE}" pid="23" name="eSynDocContactID">
    <vt:lpwstr>
    </vt:lpwstr>
  </property>
  <property fmtid="{D5CDD505-2E9C-101B-9397-08002B2CF9AE}" pid="24" name="eSynDocAccount">
    <vt:lpwstr>
    </vt:lpwstr>
  </property>
  <property fmtid="{D5CDD505-2E9C-101B-9397-08002B2CF9AE}" pid="25" name="eSynDocResource">
    <vt:lpwstr>
    </vt:lpwstr>
  </property>
  <property fmtid="{D5CDD505-2E9C-101B-9397-08002B2CF9AE}" pid="26" name="eSynDocProjectNr">
    <vt:lpwstr>LG.01.00</vt:lpwstr>
  </property>
  <property fmtid="{D5CDD505-2E9C-101B-9397-08002B2CF9AE}" pid="27" name="eSynDocSecurity">
    <vt:lpwstr>10</vt:lpwstr>
  </property>
  <property fmtid="{D5CDD505-2E9C-101B-9397-08002B2CF9AE}" pid="28" name="eSynDocAssortment">
    <vt:lpwstr>
    </vt:lpwstr>
  </property>
  <property fmtid="{D5CDD505-2E9C-101B-9397-08002B2CF9AE}" pid="29" name="eSynDocLanguageCode">
    <vt:lpwstr>
    </vt:lpwstr>
  </property>
  <property fmtid="{D5CDD505-2E9C-101B-9397-08002B2CF9AE}" pid="30" name="eSynDocDivisionDesc">
    <vt:lpwstr>VNG International</vt:lpwstr>
  </property>
  <property fmtid="{D5CDD505-2E9C-101B-9397-08002B2CF9AE}" pid="31" name="eSynDocDivision">
    <vt:lpwstr>100</vt:lpwstr>
  </property>
  <property fmtid="{D5CDD505-2E9C-101B-9397-08002B2CF9AE}" pid="32" name="eSynDocParentDocument">
    <vt:lpwstr>
    </vt:lpwstr>
  </property>
  <property fmtid="{D5CDD505-2E9C-101B-9397-08002B2CF9AE}" pid="33" name="eSynDocSubCategory">
    <vt:lpwstr>
    </vt:lpwstr>
  </property>
  <property fmtid="{D5CDD505-2E9C-101B-9397-08002B2CF9AE}" pid="34" name="eSynDocCategoryID">
    <vt:lpwstr>
    </vt:lpwstr>
  </property>
  <property fmtid="{D5CDD505-2E9C-101B-9397-08002B2CF9AE}" pid="35" name="eSynDocGroupDesc">
    <vt:lpwstr>Attachments &amp; notes</vt:lpwstr>
  </property>
  <property fmtid="{D5CDD505-2E9C-101B-9397-08002B2CF9AE}" pid="36" name="eSynDocGroupID">
    <vt:lpwstr>0</vt:lpwstr>
  </property>
  <property fmtid="{D5CDD505-2E9C-101B-9397-08002B2CF9AE}" pid="37" name="eSynDocHID">
    <vt:lpwstr>211690</vt:lpwstr>
  </property>
  <property fmtid="{D5CDD505-2E9C-101B-9397-08002B2CF9AE}" pid="38" name="eSynCleanUp10/30/2015 16:15:40">
    <vt:i4>1</vt:i4>
  </property>
  <property name="eSynCleanUp11/06/2015 12:46:49" fmtid="{D5CDD505-2E9C-101B-9397-08002B2CF9AE}" pid="39">
    <vt:i4>1</vt:i4>
  </property>
</Properties>
</file>