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D" w:rsidRPr="00691CC3" w:rsidRDefault="00C0558D" w:rsidP="00C0558D">
      <w:pPr>
        <w:pStyle w:val="Kop1"/>
        <w:tabs>
          <w:tab w:val="num" w:pos="-426"/>
        </w:tabs>
        <w:ind w:left="-425" w:hanging="709"/>
      </w:pPr>
      <w:bookmarkStart w:id="0" w:name="_GoBack"/>
      <w:bookmarkEnd w:id="0"/>
    </w:p>
    <w:tbl>
      <w:tblPr>
        <w:tblStyle w:val="Tabelraster"/>
        <w:tblW w:w="15660" w:type="dxa"/>
        <w:tblInd w:w="-792" w:type="dxa"/>
        <w:tblBorders>
          <w:top w:val="single" w:sz="4" w:space="0" w:color="FDB913"/>
          <w:left w:val="single" w:sz="4" w:space="0" w:color="FDB913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465"/>
        <w:gridCol w:w="3465"/>
        <w:gridCol w:w="3465"/>
        <w:gridCol w:w="3465"/>
      </w:tblGrid>
      <w:tr w:rsidR="00C0558D" w:rsidRPr="00691CC3" w:rsidTr="00EB2635">
        <w:trPr>
          <w:trHeight w:val="567"/>
          <w:tblHeader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 w:cs="Arial"/>
                <w:b/>
                <w:color w:val="FFFFFF"/>
              </w:rPr>
            </w:pPr>
            <w:r w:rsidRPr="00691CC3">
              <w:rPr>
                <w:rFonts w:ascii="Arial" w:hAnsi="Arial" w:cs="Arial"/>
                <w:b/>
                <w:color w:val="FFFFFF"/>
              </w:rPr>
              <w:t>Overall Objective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/>
              <w:jc w:val="center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C0558D" w:rsidRPr="00691CC3" w:rsidRDefault="00C0558D" w:rsidP="00EB2635">
            <w:pPr>
              <w:tabs>
                <w:tab w:val="num" w:pos="720"/>
              </w:tabs>
              <w:ind w:left="57"/>
              <w:rPr>
                <w:rFonts w:ascii="Arial" w:hAnsi="Arial" w:cs="Arial"/>
                <w:b/>
                <w:color w:val="003768"/>
              </w:rPr>
            </w:pPr>
            <w:r w:rsidRPr="00691CC3">
              <w:rPr>
                <w:rFonts w:ascii="Arial" w:hAnsi="Arial" w:cs="Arial"/>
                <w:b/>
                <w:color w:val="003768"/>
              </w:rPr>
              <w:t>Intervention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C0558D" w:rsidRPr="00691CC3" w:rsidRDefault="00C0558D" w:rsidP="00EB2635">
            <w:pPr>
              <w:ind w:left="57"/>
              <w:rPr>
                <w:rFonts w:ascii="Arial" w:hAnsi="Arial" w:cs="Arial"/>
                <w:b/>
                <w:color w:val="003768"/>
              </w:rPr>
            </w:pPr>
            <w:r w:rsidRPr="00691CC3">
              <w:rPr>
                <w:rFonts w:ascii="Arial" w:hAnsi="Arial" w:cs="Arial"/>
                <w:b/>
                <w:color w:val="003768"/>
              </w:rPr>
              <w:t>Objective verifiable indicators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C0558D" w:rsidRPr="00691CC3" w:rsidRDefault="00C0558D" w:rsidP="00EB2635">
            <w:pPr>
              <w:tabs>
                <w:tab w:val="num" w:pos="720"/>
              </w:tabs>
              <w:ind w:left="57"/>
              <w:rPr>
                <w:rFonts w:ascii="Arial" w:hAnsi="Arial" w:cs="Arial"/>
                <w:b/>
                <w:color w:val="003768"/>
              </w:rPr>
            </w:pPr>
            <w:r w:rsidRPr="00691CC3">
              <w:rPr>
                <w:rFonts w:ascii="Arial" w:hAnsi="Arial" w:cs="Arial"/>
                <w:b/>
                <w:color w:val="003768"/>
              </w:rPr>
              <w:t>Sources of verification</w:t>
            </w:r>
          </w:p>
        </w:tc>
        <w:tc>
          <w:tcPr>
            <w:tcW w:w="3465" w:type="dxa"/>
            <w:tcBorders>
              <w:top w:val="single" w:sz="4" w:space="0" w:color="FDB913"/>
              <w:bottom w:val="single" w:sz="4" w:space="0" w:color="FDB913"/>
            </w:tcBorders>
            <w:shd w:val="clear" w:color="auto" w:fill="FFEDCC"/>
            <w:vAlign w:val="center"/>
          </w:tcPr>
          <w:p w:rsidR="00C0558D" w:rsidRPr="00691CC3" w:rsidRDefault="00C0558D" w:rsidP="00EB2635">
            <w:pPr>
              <w:ind w:left="57"/>
              <w:rPr>
                <w:rFonts w:ascii="Arial" w:hAnsi="Arial" w:cs="Arial"/>
                <w:b/>
                <w:color w:val="003768"/>
              </w:rPr>
            </w:pPr>
            <w:r w:rsidRPr="00691CC3">
              <w:rPr>
                <w:rFonts w:ascii="Arial" w:hAnsi="Arial" w:cs="Arial"/>
                <w:b/>
                <w:color w:val="003768"/>
              </w:rPr>
              <w:t>Assumptions</w:t>
            </w:r>
          </w:p>
        </w:tc>
      </w:tr>
      <w:tr w:rsidR="00C0558D" w:rsidRPr="00691CC3" w:rsidTr="00EB2635">
        <w:trPr>
          <w:cantSplit/>
          <w:trHeight w:val="1725"/>
        </w:trPr>
        <w:tc>
          <w:tcPr>
            <w:tcW w:w="720" w:type="dxa"/>
            <w:vMerge/>
            <w:tcBorders>
              <w:left w:val="nil"/>
              <w:bottom w:val="nil"/>
              <w:right w:val="nil"/>
            </w:tcBorders>
            <w:shd w:val="clear" w:color="auto" w:fill="003768"/>
            <w:textDirection w:val="tbRl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 w:cs="Arial"/>
                <w:color w:val="FFFFFF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Improved economic development and  integrated water resource management in South Africa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C0558D" w:rsidRPr="00691CC3" w:rsidRDefault="00C0558D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Inclusive economic development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Satisfaction of businesses/citizens is improved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Evidence of improved integrated water resource management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Satisfaction of water users is improved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</w:tcPr>
          <w:p w:rsidR="00C0558D" w:rsidRPr="00691CC3" w:rsidRDefault="00C0558D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South Africa GDP Growth Rate (Trading economics)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World Bank GINI Index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World Bank Shared Prosperity Indicator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endnoteReference w:id="1"/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Ease of doing business indicator</w:t>
            </w:r>
          </w:p>
        </w:tc>
        <w:tc>
          <w:tcPr>
            <w:tcW w:w="3465" w:type="dxa"/>
            <w:tcBorders>
              <w:top w:val="single" w:sz="4" w:space="0" w:color="FDB913"/>
              <w:bottom w:val="nil"/>
            </w:tcBorders>
            <w:shd w:val="clear" w:color="auto" w:fill="FFC000"/>
          </w:tcPr>
          <w:p w:rsidR="00C0558D" w:rsidRPr="00691CC3" w:rsidRDefault="00C0558D" w:rsidP="00EB2635">
            <w:pPr>
              <w:keepLines/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rPr>
          <w:trHeight w:val="1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558D" w:rsidRPr="00691CC3" w:rsidRDefault="00C0558D" w:rsidP="00EB2635">
            <w:pPr>
              <w:tabs>
                <w:tab w:val="num" w:pos="720"/>
              </w:tabs>
              <w:ind w:left="113" w:right="74"/>
              <w:rPr>
                <w:rFonts w:ascii="Arial" w:hAnsi="Arial" w:cs="Arial"/>
                <w:color w:val="FFFFFF"/>
              </w:rPr>
            </w:pPr>
          </w:p>
        </w:tc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768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/>
              <w:ind w:left="74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rPr>
          <w:cantSplit/>
          <w:trHeight w:val="1092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shd w:val="clear" w:color="auto" w:fill="003768"/>
            <w:textDirection w:val="tbRl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 w:cs="Arial"/>
                <w:b/>
                <w:color w:val="FFFFFF"/>
              </w:rPr>
            </w:pPr>
            <w:r w:rsidRPr="00691CC3">
              <w:rPr>
                <w:rFonts w:ascii="Arial" w:hAnsi="Arial" w:cs="Arial"/>
                <w:b/>
                <w:color w:val="FFFFFF"/>
              </w:rPr>
              <w:t>Specific Objective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C0558D" w:rsidRPr="00691CC3" w:rsidRDefault="00C0558D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12 Local Governments are undertaking action to deliver on LED services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Relevant national frameworks for LED translated to local needs of LGs and included in relevant planning documents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3 LGs developed LED strategy, approved by council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LED principles integrated in the planning and implementation of urban renewal/ housing projects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Increased level of implementation with regards to defined LED priorities (in thematic areas of housing, logistics, mining).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Good practices identified and applied within the LG to facilitate a conducive business environment.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Regular consultations and alignment with CMAs and other relevant stakeholders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Stronger partner when engaging with private companies e.g. in mining or logistics sector.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3"/>
              </w:numPr>
              <w:tabs>
                <w:tab w:val="left" w:pos="425"/>
                <w:tab w:val="left" w:pos="851"/>
              </w:tabs>
              <w:ind w:left="387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Improved understanding and collaboration between various departments, councillors and officials on LED related issues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Annual plans, Integrated Development Plans include aspects of SPLUMA, Back to Basics, National framework for LED etc.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LED strategy, council minutes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Project plans (e.g. inclusion of transport hubs, socio- economic principles)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Activity reports, minutes of progress meetings/ platforms, field visits. pictures, videos, 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IDP/action plan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Benchmark report, reports on red tape reduction strategies, progress reports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Minutes of meetings with CMAs and other relevant stakeholders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Activity reports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2"/>
              </w:numPr>
              <w:spacing w:before="120" w:after="48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Activity reports, anti- silo award cases 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Commitment of the South African Government to stimulate economic development and integrated water resource management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2"/>
              </w:numPr>
              <w:tabs>
                <w:tab w:val="left" w:pos="425"/>
                <w:tab w:val="left" w:pos="851"/>
              </w:tabs>
              <w:spacing w:line="300" w:lineRule="exact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Stable (international) economic environment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1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National Frameworks are in place and relevant to the needs of LGs</w:t>
            </w:r>
          </w:p>
          <w:p w:rsidR="00C0558D" w:rsidRPr="007E4B32" w:rsidRDefault="00C0558D" w:rsidP="00C0558D">
            <w:pPr>
              <w:pStyle w:val="Lijstalinea"/>
              <w:keepLines/>
              <w:numPr>
                <w:ilvl w:val="0"/>
                <w:numId w:val="12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CMAs, private sector and other relevant stakeholder are willing to engage with the LG</w:t>
            </w:r>
          </w:p>
        </w:tc>
      </w:tr>
      <w:tr w:rsidR="00C0558D" w:rsidRPr="00691CC3" w:rsidTr="00EB2635">
        <w:trPr>
          <w:cantSplit/>
          <w:trHeight w:val="693"/>
        </w:trPr>
        <w:tc>
          <w:tcPr>
            <w:tcW w:w="720" w:type="dxa"/>
            <w:vMerge/>
            <w:tcBorders>
              <w:left w:val="nil"/>
              <w:right w:val="nil"/>
            </w:tcBorders>
            <w:shd w:val="clear" w:color="auto" w:fill="003768"/>
            <w:textDirection w:val="tbRl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170" w:right="74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C0558D" w:rsidRPr="00691CC3" w:rsidRDefault="00C0558D" w:rsidP="00EB2635">
            <w:pPr>
              <w:tabs>
                <w:tab w:val="num" w:pos="720"/>
              </w:tabs>
              <w:spacing w:before="240" w:after="480"/>
              <w:ind w:left="57" w:right="74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480"/>
              <w:ind w:left="57" w:right="113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3 CMAs are undertaking action to deliver on their water regulating role at catchment level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EB2635">
            <w:pPr>
              <w:pStyle w:val="Lijstalinea"/>
              <w:keepLines/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CMS drafted for the one (proto) CMA and approved by board once the CMA is established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Three CMAs increase their level of implementation of the CMS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Two CMA’s advice new (proto) CMA’s on organisational development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Structural CMA learning platform is functioning 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Regular consultations and alignment with LGs and other relevant stakeholders to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inform planning</w:t>
            </w:r>
          </w:p>
          <w:p w:rsidR="00C0558D" w:rsidRPr="00691CC3" w:rsidRDefault="00C0558D" w:rsidP="00C0558D">
            <w:pPr>
              <w:pStyle w:val="Lijstalinea"/>
              <w:keepLines/>
              <w:numPr>
                <w:ilvl w:val="0"/>
                <w:numId w:val="5"/>
              </w:numPr>
              <w:tabs>
                <w:tab w:val="left" w:pos="425"/>
                <w:tab w:val="left" w:pos="851"/>
              </w:tabs>
              <w:ind w:left="389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CMAs have improved understanding of the division of intergovernmental roles and responsibilities in relation to integrated water resource management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EB2635">
            <w:pPr>
              <w:pStyle w:val="ParaAttribute14"/>
              <w:spacing w:before="0" w:after="0"/>
              <w:ind w:left="417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eastAsia="MS Mincho" w:hAnsi="Arial" w:cs="Arial"/>
                <w:color w:val="003768"/>
                <w:sz w:val="16"/>
                <w:szCs w:val="16"/>
              </w:rPr>
              <w:t>Draft CMS</w:t>
            </w: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Activity/ field visit reports, minutes on progress meetings/ platforms, trainings </w:t>
            </w: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eastAsia="MS Mincho" w:hAnsi="Arial" w:cs="Arial"/>
                <w:color w:val="003768"/>
                <w:sz w:val="16"/>
                <w:szCs w:val="16"/>
              </w:rPr>
              <w:t xml:space="preserve">Starters pack, reports on advisory sessions, roundtable reports, presentations </w:t>
            </w: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eastAsia="MS Mincho" w:hAnsi="Arial" w:cs="Arial"/>
                <w:color w:val="003768"/>
                <w:sz w:val="16"/>
                <w:szCs w:val="16"/>
              </w:rPr>
              <w:t>Reports of platform meetings/ roundtables</w:t>
            </w: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eastAsia="MS Mincho" w:hAnsi="Arial" w:cs="Arial"/>
                <w:color w:val="003768"/>
                <w:sz w:val="16"/>
                <w:szCs w:val="16"/>
              </w:rPr>
              <w:t>Cooperation Framework between CMAs &amp; LG, workshop/ activity reports, Catchment Management Fora reports, attendance registers</w:t>
            </w:r>
          </w:p>
          <w:p w:rsidR="00C0558D" w:rsidRPr="00691CC3" w:rsidRDefault="00C0558D" w:rsidP="00C0558D">
            <w:pPr>
              <w:pStyle w:val="ParaAttribute14"/>
              <w:numPr>
                <w:ilvl w:val="0"/>
                <w:numId w:val="6"/>
              </w:numPr>
              <w:spacing w:before="0" w:after="0"/>
              <w:ind w:left="418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eastAsia="MS Mincho" w:hAnsi="Arial" w:cs="Arial"/>
                <w:color w:val="003768"/>
                <w:sz w:val="16"/>
                <w:szCs w:val="16"/>
              </w:rPr>
              <w:t xml:space="preserve">Workshop reports, organogram, presentation on the various actors active within IWRM,  attendance registers </w:t>
            </w:r>
          </w:p>
          <w:p w:rsidR="00C0558D" w:rsidRPr="00691CC3" w:rsidRDefault="00C0558D" w:rsidP="00EB2635">
            <w:pPr>
              <w:pStyle w:val="ParaAttribute14"/>
              <w:spacing w:before="0" w:after="0"/>
              <w:ind w:left="417" w:right="72"/>
              <w:rPr>
                <w:rFonts w:ascii="Arial" w:eastAsia="MS Mincho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C0558D" w:rsidRPr="00691CC3" w:rsidRDefault="00C0558D" w:rsidP="00C0558D">
            <w:pPr>
              <w:pStyle w:val="Lijstalinea"/>
              <w:numPr>
                <w:ilvl w:val="0"/>
                <w:numId w:val="7"/>
              </w:numPr>
              <w:spacing w:before="120" w:after="120"/>
              <w:ind w:left="297" w:right="74" w:hanging="29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Local governments are willing to engage with and to allow CMAs to participate in their planning cycle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7"/>
              </w:numPr>
              <w:spacing w:before="120" w:after="120"/>
              <w:ind w:left="297" w:right="74" w:hanging="297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Surrounding countries continue to support transboundary water management</w:t>
            </w:r>
          </w:p>
        </w:tc>
      </w:tr>
    </w:tbl>
    <w:p w:rsidR="00C0558D" w:rsidRPr="00691CC3" w:rsidRDefault="00C0558D" w:rsidP="00C0558D">
      <w:pPr>
        <w:rPr>
          <w:rFonts w:ascii="Arial" w:hAnsi="Arial" w:cs="Arial"/>
          <w:sz w:val="16"/>
          <w:szCs w:val="16"/>
        </w:rPr>
        <w:sectPr w:rsidR="00C0558D" w:rsidRPr="00691CC3" w:rsidSect="00B752E0">
          <w:headerReference w:type="default" r:id="rId8"/>
          <w:pgSz w:w="16838" w:h="11906" w:orient="landscape" w:code="9"/>
          <w:pgMar w:top="1985" w:right="998" w:bottom="1418" w:left="1418" w:header="1134" w:footer="709" w:gutter="0"/>
          <w:cols w:space="708"/>
          <w:docGrid w:linePitch="360"/>
        </w:sect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237"/>
        <w:gridCol w:w="3917"/>
        <w:gridCol w:w="3413"/>
        <w:gridCol w:w="3420"/>
      </w:tblGrid>
      <w:tr w:rsidR="00C0558D" w:rsidRPr="00691CC3" w:rsidTr="00EB2635">
        <w:trPr>
          <w:trHeight w:val="284"/>
        </w:trPr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tcBorders>
              <w:bottom w:val="single" w:sz="4" w:space="0" w:color="FDB913"/>
            </w:tcBorders>
            <w:shd w:val="clear" w:color="auto" w:fill="003768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Results</w:t>
            </w:r>
            <w:r w:rsidRPr="00691CC3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C0558D" w:rsidRPr="00691CC3" w:rsidTr="00EB2635">
        <w:trPr>
          <w:trHeight w:val="237"/>
        </w:trPr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C0558D" w:rsidRPr="00691CC3" w:rsidRDefault="00C0558D" w:rsidP="00EB2635">
            <w:p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</w:t>
            </w:r>
          </w:p>
        </w:tc>
        <w:tc>
          <w:tcPr>
            <w:tcW w:w="3237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12 local governments to enhance, organise and institutionalise LED services</w:t>
            </w:r>
          </w:p>
        </w:tc>
        <w:tc>
          <w:tcPr>
            <w:tcW w:w="3917" w:type="dxa"/>
          </w:tcPr>
          <w:p w:rsidR="00C0558D" w:rsidRPr="00691CC3" w:rsidRDefault="00C0558D" w:rsidP="00C0558D">
            <w:pPr>
              <w:pStyle w:val="Lijstaline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IDPs, annual plans and LED Strategies are in place and describe the priorities of the local government (1.4)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LGs are enabled to carry out operational plans and to achieve results (2.4)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Relevant stakeholders have been identified in the LED strategy and its operational plans of the local government (4.1)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Political leadership of the local governments are capable of maintaining coherence between ambition, vision, strategy and operations (5.1)</w:t>
            </w:r>
          </w:p>
        </w:tc>
        <w:tc>
          <w:tcPr>
            <w:tcW w:w="3413" w:type="dxa"/>
          </w:tcPr>
          <w:p w:rsidR="00C0558D" w:rsidRPr="00691CC3" w:rsidRDefault="00C0558D" w:rsidP="00EB2635">
            <w:pPr>
              <w:pStyle w:val="Lijstalinea"/>
              <w:spacing w:before="120" w:after="120"/>
              <w:ind w:left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5C assessment reports of the 12 LG's involved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Reports by VNG experts and  Dutch LG experts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Annual plans and reports by VNG management, monthly reports by RPM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Reports of training sessions, on the job  coaching, exchange visits, benchmark </w:t>
            </w:r>
          </w:p>
          <w:p w:rsidR="00C0558D" w:rsidRPr="00691CC3" w:rsidRDefault="00C0558D" w:rsidP="00EB2635">
            <w:pPr>
              <w:pStyle w:val="Lijstalinea"/>
              <w:spacing w:before="120" w:after="120"/>
              <w:ind w:left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cycles</w:t>
            </w:r>
          </w:p>
        </w:tc>
        <w:tc>
          <w:tcPr>
            <w:tcW w:w="3420" w:type="dxa"/>
          </w:tcPr>
          <w:p w:rsidR="00C0558D" w:rsidRPr="00691CC3" w:rsidRDefault="00C0558D" w:rsidP="00EB2635">
            <w:pPr>
              <w:pStyle w:val="Lijstalinea"/>
              <w:spacing w:before="120" w:after="120"/>
              <w:ind w:left="203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  <w:p w:rsidR="00C0558D" w:rsidRPr="008E4EED" w:rsidRDefault="00C0558D" w:rsidP="00C0558D">
            <w:pPr>
              <w:pStyle w:val="Lijstalinea"/>
              <w:numPr>
                <w:ilvl w:val="0"/>
                <w:numId w:val="8"/>
              </w:numPr>
              <w:tabs>
                <w:tab w:val="num" w:pos="203"/>
              </w:tabs>
              <w:spacing w:before="120" w:after="120"/>
              <w:ind w:left="203" w:right="74" w:hanging="18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Continued support by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CoGTA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and SALGA</w:t>
            </w:r>
          </w:p>
        </w:tc>
      </w:tr>
      <w:tr w:rsidR="00C0558D" w:rsidRPr="00691CC3" w:rsidTr="00EB2635">
        <w:trPr>
          <w:trHeight w:val="639"/>
        </w:trPr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</w:t>
            </w:r>
          </w:p>
        </w:tc>
        <w:tc>
          <w:tcPr>
            <w:tcW w:w="3237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Increased capacity of three CMAs to deliver on their water regulating role at catchment level</w:t>
            </w:r>
          </w:p>
        </w:tc>
        <w:tc>
          <w:tcPr>
            <w:tcW w:w="3917" w:type="dxa"/>
          </w:tcPr>
          <w:p w:rsidR="00C0558D" w:rsidRPr="00691CC3" w:rsidRDefault="00C0558D" w:rsidP="00C0558D">
            <w:pPr>
              <w:pStyle w:val="Lijstalinea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Catchment Management Strategy and its respective operational plans are in place and describe the priorities of the CMA (1.4)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CMAs are enabled to carry out operational plans and to achieve results (2.4)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Learning from within the organisation and from other organisations has taken place (3.5)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Relevant stakeholders have been identified in the CMS and operational plans of the CMA (4.1)</w:t>
            </w:r>
          </w:p>
        </w:tc>
        <w:tc>
          <w:tcPr>
            <w:tcW w:w="3413" w:type="dxa"/>
          </w:tcPr>
          <w:p w:rsidR="00C0558D" w:rsidRPr="00691CC3" w:rsidRDefault="00C0558D" w:rsidP="00EB2635">
            <w:pPr>
              <w:pStyle w:val="Lijstalinea"/>
              <w:spacing w:before="120" w:after="120"/>
              <w:ind w:left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5C assessment reports of the 3 CMAs involved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Reports by VNG experts, Dutch RWA experts and SA CMA experts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Annual plans and reports by VNG management, monthly reports by RPM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4"/>
              </w:numPr>
              <w:spacing w:before="120" w:after="120"/>
              <w:ind w:left="331" w:hanging="331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1F497D" w:themeColor="text2"/>
                <w:sz w:val="16"/>
                <w:szCs w:val="16"/>
              </w:rPr>
              <w:t>Reports of training sessions, activity reports, exchange visits</w:t>
            </w:r>
          </w:p>
        </w:tc>
        <w:tc>
          <w:tcPr>
            <w:tcW w:w="3420" w:type="dxa"/>
          </w:tcPr>
          <w:p w:rsidR="00C0558D" w:rsidRPr="009B13FA" w:rsidRDefault="00C0558D" w:rsidP="00EB2635">
            <w:p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</w:tbl>
    <w:p w:rsidR="00C0558D" w:rsidRPr="00691CC3" w:rsidRDefault="00C0558D" w:rsidP="00C0558D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14940" w:type="dxa"/>
        <w:tblInd w:w="-113" w:type="dxa"/>
        <w:tblBorders>
          <w:top w:val="single" w:sz="4" w:space="0" w:color="FDB913"/>
          <w:left w:val="none" w:sz="0" w:space="0" w:color="auto"/>
          <w:bottom w:val="single" w:sz="4" w:space="0" w:color="FDB913"/>
          <w:right w:val="single" w:sz="4" w:space="0" w:color="FDB913"/>
          <w:insideH w:val="single" w:sz="4" w:space="0" w:color="FDB913"/>
          <w:insideV w:val="single" w:sz="4" w:space="0" w:color="FDB913"/>
        </w:tblBorders>
        <w:tblLook w:val="01E0" w:firstRow="1" w:lastRow="1" w:firstColumn="1" w:lastColumn="1" w:noHBand="0" w:noVBand="0"/>
      </w:tblPr>
      <w:tblGrid>
        <w:gridCol w:w="953"/>
        <w:gridCol w:w="3639"/>
        <w:gridCol w:w="3515"/>
        <w:gridCol w:w="3413"/>
        <w:gridCol w:w="3420"/>
      </w:tblGrid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Result 1:  Increased capacity of 12 LGs to enhance, organise and institutionalise LED services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Activities</w:t>
            </w: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1.1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Conducting a baseline study to assess the capacity gaps in the field of LED for fine tuning interventions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Continued support by five LG's from the Netherlands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1042DC">
              <w:rPr>
                <w:rFonts w:ascii="Arial" w:hAnsi="Arial" w:cs="Arial"/>
                <w:color w:val="003768"/>
                <w:sz w:val="16"/>
                <w:szCs w:val="16"/>
              </w:rPr>
              <w:t>Availability of relevant LG colleagues (e.g. in terms of level, relevant departments) for LGCP activities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320582">
              <w:rPr>
                <w:rFonts w:ascii="Arial" w:hAnsi="Arial" w:cs="Arial"/>
                <w:color w:val="003768"/>
                <w:sz w:val="16"/>
                <w:szCs w:val="16"/>
              </w:rPr>
              <w:t>Willingness of LGs to be open, share and collaborate with colleagues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715178">
              <w:rPr>
                <w:rFonts w:ascii="Arial" w:hAnsi="Arial" w:cs="Arial"/>
                <w:color w:val="003768"/>
                <w:sz w:val="16"/>
                <w:szCs w:val="16"/>
              </w:rPr>
              <w:t>Willingness of LGs to move from planning to implementation and to take risks where necessary.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715178">
              <w:rPr>
                <w:rFonts w:ascii="Arial" w:hAnsi="Arial" w:cs="Arial"/>
                <w:color w:val="003768"/>
                <w:sz w:val="16"/>
                <w:szCs w:val="16"/>
              </w:rPr>
              <w:t>Basic awareness that collaboration with colleagues is necessary to achieve the set objectives</w:t>
            </w:r>
          </w:p>
          <w:p w:rsidR="00C0558D" w:rsidRDefault="00C0558D" w:rsidP="00C0558D">
            <w:pPr>
              <w:pStyle w:val="Lijstalinea"/>
              <w:keepLines/>
              <w:numPr>
                <w:ilvl w:val="0"/>
                <w:numId w:val="8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The elections in South Africa and the Netherlands do not significantly delay programme implementation</w:t>
            </w:r>
          </w:p>
          <w:p w:rsidR="00C0558D" w:rsidRPr="007E4B32" w:rsidRDefault="00C0558D" w:rsidP="00C0558D">
            <w:pPr>
              <w:pStyle w:val="Lijstalinea"/>
              <w:keepLines/>
              <w:numPr>
                <w:ilvl w:val="0"/>
                <w:numId w:val="8"/>
              </w:numPr>
              <w:tabs>
                <w:tab w:val="left" w:pos="425"/>
                <w:tab w:val="left" w:pos="851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9B13FA">
              <w:rPr>
                <w:rFonts w:ascii="Arial" w:hAnsi="Arial" w:cs="Arial"/>
                <w:color w:val="003768"/>
                <w:sz w:val="16"/>
                <w:szCs w:val="16"/>
              </w:rPr>
              <w:t>Willingness to cooperate with stakeholders and relevant governmental bodies, like line ministries and provinces</w:t>
            </w: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1.2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kern w:val="2"/>
                <w:sz w:val="16"/>
                <w:szCs w:val="16"/>
                <w:lang w:eastAsia="ko-KR"/>
              </w:rPr>
              <w:t>Training and sensitization of local governments on existing national policies and regulations related to LED, relevant for local level implementation, like Back to Basics, SPLUMA, and National Framework for LED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tabs>
                <w:tab w:val="num" w:pos="794"/>
              </w:tabs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1.3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Technical assistance and coaching of local governments with regards to the process of drafting a new or reviewing existing LED strategies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57" w:right="74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1.4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Supporting and coaching of the local governments in the implementation of the prioritised areas as identified in the LED 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 xml:space="preserve">strategy in relation to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a.o.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;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Logistics- harbour, airport development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Mining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Housing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Tourism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lastRenderedPageBreak/>
              <w:t>1.5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Development and implementation of red tape reduction Benchmark cycle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1.6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Facilitation of peer-to-peer sessions to strengthen the effectiveness of local governments to engage with key stakeholders (like Transnet, IDZ and Mining houses).  Peers are clustered on the basis of thematic areas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1.7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Facilitation of the exchange between local governments and CMAs, as to ensure participation in each other’s planning cycle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1.8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Sensitizing local governments on LED as a cross cutting issue, as to ensure the inclusion of LED principles in planning and implementation of local governments’ Integrated Development Plans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1.9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Sensitising local governments on the need for and the stimulation of inter departmental collaboration through the facilitation of workshops, the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anti silo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movement and by awarding the best practices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1.10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Training of councillors and officials on LED, as to sensitise them on LED as a cross cutting issue, roles and responsibilities and to create a common understanding within the organization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1.11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Facilitation of colleague to colleague exchange within South Africa and the Netherlands and between the countries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1.12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Conduct annual 5 C assessments and </w:t>
            </w:r>
            <w:proofErr w:type="spellStart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logframe</w:t>
            </w:r>
            <w:proofErr w:type="spellEnd"/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measurements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003768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Result 2:  </w:t>
            </w:r>
            <w:r w:rsidRPr="00691CC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Increased capacity of three (proto) CMAs to deliver on their water regulating role on catchment level</w:t>
            </w: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</w:p>
        </w:tc>
        <w:tc>
          <w:tcPr>
            <w:tcW w:w="13987" w:type="dxa"/>
            <w:gridSpan w:val="4"/>
            <w:shd w:val="clear" w:color="auto" w:fill="FFEDCC"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right="7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Activities</w:t>
            </w:r>
          </w:p>
        </w:tc>
      </w:tr>
      <w:tr w:rsidR="00C0558D" w:rsidRPr="00691CC3" w:rsidTr="00EB2635">
        <w:trPr>
          <w:trHeight w:val="364"/>
        </w:trPr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Conducting a baseline study to assess the capacity needs of (proto) CMAs in the field of IWRM for fine-tuning interventions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 w:val="restart"/>
          </w:tcPr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Continued support by the three (proto) CMA to the programme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lastRenderedPageBreak/>
              <w:t>Continued support of national and regional Department</w:t>
            </w:r>
            <w:r>
              <w:rPr>
                <w:rFonts w:ascii="Arial" w:hAnsi="Arial" w:cs="Arial"/>
                <w:color w:val="003768"/>
                <w:sz w:val="16"/>
                <w:szCs w:val="16"/>
              </w:rPr>
              <w:t>s</w:t>
            </w: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 of Water and Sanitation for the programme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8E4EED">
              <w:rPr>
                <w:rFonts w:ascii="Arial" w:hAnsi="Arial" w:cs="Arial"/>
                <w:color w:val="003768"/>
                <w:sz w:val="16"/>
                <w:szCs w:val="16"/>
              </w:rPr>
              <w:t>Partners within both countries do the necessary to facilitate an equal partnership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Strategic partnership agreement continues to facilitate the cooperation between South Africa and the Netherlands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No changes in MoU between The Netherlands and South Africa</w:t>
            </w:r>
          </w:p>
          <w:p w:rsidR="00C0558D" w:rsidRPr="00691CC3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 xml:space="preserve">Both countries will establish a strong core group to facilitate cooperation 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4EED">
              <w:rPr>
                <w:rFonts w:ascii="Arial" w:hAnsi="Arial" w:cs="Arial"/>
                <w:color w:val="003768"/>
                <w:sz w:val="16"/>
                <w:szCs w:val="16"/>
              </w:rPr>
              <w:t>Capability of involved partners handling challenges arising from intercultural communication</w:t>
            </w:r>
            <w:r w:rsidRPr="008E4EED">
              <w:rPr>
                <w:rFonts w:ascii="Arial" w:hAnsi="Arial" w:cs="Arial"/>
                <w:color w:val="000000"/>
                <w:sz w:val="16"/>
                <w:szCs w:val="16"/>
              </w:rPr>
              <w:t xml:space="preserve">  </w:t>
            </w:r>
          </w:p>
          <w:p w:rsidR="00C0558D" w:rsidRPr="001042DC" w:rsidRDefault="00C0558D" w:rsidP="00C0558D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372"/>
              </w:tabs>
              <w:wordWrap w:val="0"/>
              <w:autoSpaceDE w:val="0"/>
              <w:autoSpaceDN w:val="0"/>
              <w:ind w:right="72"/>
              <w:contextualSpacing w:val="0"/>
              <w:rPr>
                <w:rStyle w:val="CharAttribute9"/>
                <w:rFonts w:eastAsia="¹Å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Continued support by four RWA </w:t>
            </w:r>
            <w:r>
              <w:rPr>
                <w:rStyle w:val="CharAttribute9"/>
                <w:sz w:val="16"/>
                <w:szCs w:val="16"/>
              </w:rPr>
              <w:t xml:space="preserve">  </w:t>
            </w:r>
            <w:r w:rsidRPr="00691CC3">
              <w:rPr>
                <w:rStyle w:val="CharAttribute9"/>
                <w:sz w:val="16"/>
                <w:szCs w:val="16"/>
              </w:rPr>
              <w:t>from the Netherlands</w:t>
            </w:r>
          </w:p>
          <w:p w:rsidR="00C0558D" w:rsidRPr="00320582" w:rsidRDefault="00C0558D" w:rsidP="00C0558D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372"/>
              </w:tabs>
              <w:wordWrap w:val="0"/>
              <w:autoSpaceDE w:val="0"/>
              <w:autoSpaceDN w:val="0"/>
              <w:ind w:right="72"/>
              <w:contextualSpacing w:val="0"/>
              <w:rPr>
                <w:rFonts w:ascii="Arial" w:eastAsia="¹Å" w:hAnsi="Arial" w:cs="Arial"/>
                <w:color w:val="003768"/>
                <w:sz w:val="16"/>
                <w:szCs w:val="16"/>
              </w:rPr>
            </w:pPr>
            <w:r w:rsidRPr="001042DC">
              <w:rPr>
                <w:rFonts w:ascii="Arial" w:hAnsi="Arial" w:cs="Arial"/>
                <w:color w:val="003768"/>
                <w:sz w:val="16"/>
                <w:szCs w:val="16"/>
              </w:rPr>
              <w:t>Availability of CMA colleagues for LGCP activities</w:t>
            </w:r>
          </w:p>
          <w:p w:rsidR="00C0558D" w:rsidRDefault="00C0558D" w:rsidP="00C0558D">
            <w:pPr>
              <w:pStyle w:val="Lijstalinea"/>
              <w:widowControl w:val="0"/>
              <w:numPr>
                <w:ilvl w:val="0"/>
                <w:numId w:val="8"/>
              </w:numPr>
              <w:tabs>
                <w:tab w:val="left" w:pos="372"/>
              </w:tabs>
              <w:wordWrap w:val="0"/>
              <w:autoSpaceDE w:val="0"/>
              <w:autoSpaceDN w:val="0"/>
              <w:ind w:right="72"/>
              <w:contextualSpacing w:val="0"/>
              <w:rPr>
                <w:rFonts w:ascii="Arial" w:eastAsia="¹Å" w:hAnsi="Arial" w:cs="Arial"/>
                <w:color w:val="003768"/>
                <w:sz w:val="16"/>
                <w:szCs w:val="16"/>
              </w:rPr>
            </w:pPr>
            <w:r w:rsidRPr="00320582">
              <w:rPr>
                <w:rFonts w:ascii="Arial" w:eastAsia="¹Å" w:hAnsi="Arial" w:cs="Arial"/>
                <w:color w:val="003768"/>
                <w:sz w:val="16"/>
                <w:szCs w:val="16"/>
              </w:rPr>
              <w:t>Willingness of DWS/CMAs to be open, share and collaborate with colleagues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CMA establishment process does not delay programme implementation</w:t>
            </w:r>
          </w:p>
          <w:p w:rsidR="00C0558D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color w:val="003768"/>
                <w:sz w:val="16"/>
                <w:szCs w:val="16"/>
              </w:rPr>
              <w:t>The elections in South Africa and the Netherlands do not significantly delay programme implementation</w:t>
            </w:r>
          </w:p>
          <w:p w:rsidR="00C0558D" w:rsidRPr="004F4B86" w:rsidRDefault="00C0558D" w:rsidP="00C0558D">
            <w:pPr>
              <w:pStyle w:val="Lijstalinea"/>
              <w:numPr>
                <w:ilvl w:val="0"/>
                <w:numId w:val="8"/>
              </w:numPr>
              <w:spacing w:before="120" w:after="120"/>
              <w:ind w:right="74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9B13FA">
              <w:rPr>
                <w:rFonts w:ascii="Arial" w:hAnsi="Arial" w:cs="Arial"/>
                <w:color w:val="003768"/>
                <w:sz w:val="16"/>
                <w:szCs w:val="16"/>
              </w:rPr>
              <w:t xml:space="preserve">Willingness to provide support by relevant actors to draft and finalize the documents for the </w:t>
            </w:r>
            <w:proofErr w:type="spellStart"/>
            <w:r w:rsidRPr="009B13FA">
              <w:rPr>
                <w:rFonts w:ascii="Arial" w:hAnsi="Arial" w:cs="Arial"/>
                <w:color w:val="003768"/>
                <w:sz w:val="16"/>
                <w:szCs w:val="16"/>
              </w:rPr>
              <w:t>starterspack</w:t>
            </w:r>
            <w:proofErr w:type="spellEnd"/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lastRenderedPageBreak/>
              <w:t>2.2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Establishing a programme support structure (e.g. project and core team, steering committee), and developing induction, communication and guiding materials to facilitate proper programme implementation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lastRenderedPageBreak/>
              <w:t>2.3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sz w:val="16"/>
                <w:szCs w:val="16"/>
              </w:rPr>
              <w:t>Continuous liaising with the relevant actors in the SA National Department of Water and Sanitation to place the programme on national agenda</w:t>
            </w:r>
            <w:r w:rsidRPr="00691CC3">
              <w:rPr>
                <w:rStyle w:val="CharAttribute9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2.4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Facilitation of initial working relationships between NL and SA water authorities to exchange knowledge on IWRM</w:t>
            </w:r>
          </w:p>
          <w:p w:rsidR="00C0558D" w:rsidRPr="00691CC3" w:rsidRDefault="00C0558D" w:rsidP="00EB2635">
            <w:pPr>
              <w:pStyle w:val="Default"/>
              <w:adjustRightInd/>
              <w:rPr>
                <w:rFonts w:eastAsia="MS Mincho"/>
                <w:color w:val="003768"/>
                <w:sz w:val="16"/>
                <w:szCs w:val="16"/>
                <w:lang w:eastAsia="ko-KR"/>
              </w:rPr>
            </w:pP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2.5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Organizing a workshop focusing on the review of the DWS guidelines with regards to CMS development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2.6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  <w:lang w:eastAsia="ko-KR"/>
              </w:rPr>
            </w:pPr>
            <w:r w:rsidRPr="00691CC3">
              <w:rPr>
                <w:rStyle w:val="CharAttribute9"/>
                <w:sz w:val="16"/>
                <w:szCs w:val="16"/>
              </w:rPr>
              <w:t>Providing advice to CMAs with regards to the process of drafting a new or reviewing an existing CMS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2.7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 xml:space="preserve">Supporting the implementation of prioritised water management areas; 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Water quality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Trans- boundary water management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Water use charges and billing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Compliance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Style w:val="CharAttribute9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Stakeholder engagement</w:t>
            </w:r>
          </w:p>
          <w:p w:rsidR="00C0558D" w:rsidRPr="00691CC3" w:rsidRDefault="00C0558D" w:rsidP="00EB2635">
            <w:pPr>
              <w:tabs>
                <w:tab w:val="num" w:pos="720"/>
              </w:tabs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- Management information system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2.8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Development and rollout of starters pack (chapters on governance, structure and operations of CMA, the CMS and institutional planning, monitoring and performance) to guide (proto) CMAs in their establishment process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2.9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Facilitate the advisory role of the existing CMAs towards the (proto) CMAs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2.10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Facilitation of (CEO) roundtables/ project team meetings to facilitate knowledge sharing within South Africa and the Netherlands and between the countries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2.11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Organization of programme exposure during networking events, like WISA, IWA and WWF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2.12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t xml:space="preserve">Drafting a cooperation framework, to facilitate  exchange between CMA and local government </w:t>
            </w:r>
            <w:r w:rsidRPr="00691CC3">
              <w:rPr>
                <w:rStyle w:val="CharAttribute9"/>
                <w:color w:val="1F497D" w:themeColor="text2"/>
                <w:sz w:val="16"/>
                <w:szCs w:val="16"/>
              </w:rPr>
              <w:lastRenderedPageBreak/>
              <w:t>to participate in each other’s planning cycles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lastRenderedPageBreak/>
              <w:t>2.13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Facilitation of workshop to discuss institutional arrangements within IWRM in South Africa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2.14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Promotion of intercultural awareness between (proto) CMAs and Dutch Water Authorities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2.15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Organisation of workshop to discuss the roles and responsibilities of CMAs, National and regional DWS in the CMA establishment process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558D" w:rsidRPr="00691CC3" w:rsidTr="00EB2635">
        <w:tc>
          <w:tcPr>
            <w:tcW w:w="953" w:type="dxa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b/>
                <w:color w:val="003768"/>
                <w:sz w:val="16"/>
                <w:szCs w:val="16"/>
              </w:rPr>
            </w:pPr>
            <w:r w:rsidRPr="00691CC3">
              <w:rPr>
                <w:rFonts w:ascii="Arial" w:hAnsi="Arial" w:cs="Arial"/>
                <w:b/>
                <w:color w:val="003768"/>
                <w:sz w:val="16"/>
                <w:szCs w:val="16"/>
              </w:rPr>
              <w:t>2.16</w:t>
            </w:r>
          </w:p>
        </w:tc>
        <w:tc>
          <w:tcPr>
            <w:tcW w:w="3639" w:type="dxa"/>
          </w:tcPr>
          <w:p w:rsidR="00C0558D" w:rsidRPr="00691CC3" w:rsidRDefault="00C0558D" w:rsidP="00EB2635">
            <w:pPr>
              <w:tabs>
                <w:tab w:val="num" w:pos="720"/>
              </w:tabs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  <w:r w:rsidRPr="00691CC3">
              <w:rPr>
                <w:rStyle w:val="CharAttribute9"/>
                <w:sz w:val="16"/>
                <w:szCs w:val="16"/>
              </w:rPr>
              <w:t>Conduct annual 5 C assessments and log frame measurements</w:t>
            </w:r>
          </w:p>
        </w:tc>
        <w:tc>
          <w:tcPr>
            <w:tcW w:w="3515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13" w:type="dxa"/>
            <w:shd w:val="clear" w:color="auto" w:fill="BFBFBF" w:themeFill="background1" w:themeFillShade="BF"/>
          </w:tcPr>
          <w:p w:rsidR="00C0558D" w:rsidRPr="00691CC3" w:rsidRDefault="00C0558D" w:rsidP="00EB2635">
            <w:pPr>
              <w:spacing w:before="60" w:after="60"/>
              <w:ind w:left="433"/>
              <w:rPr>
                <w:rFonts w:ascii="Arial" w:hAnsi="Arial" w:cs="Arial"/>
                <w:color w:val="003768"/>
                <w:sz w:val="16"/>
                <w:szCs w:val="16"/>
              </w:rPr>
            </w:pPr>
          </w:p>
        </w:tc>
        <w:tc>
          <w:tcPr>
            <w:tcW w:w="3420" w:type="dxa"/>
            <w:vMerge/>
          </w:tcPr>
          <w:p w:rsidR="00C0558D" w:rsidRPr="00691CC3" w:rsidRDefault="00C0558D" w:rsidP="00EB2635">
            <w:pPr>
              <w:tabs>
                <w:tab w:val="num" w:pos="720"/>
              </w:tabs>
              <w:spacing w:before="120" w:after="120"/>
              <w:ind w:left="74" w:right="7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0558D" w:rsidRPr="00691CC3" w:rsidRDefault="00C0558D" w:rsidP="00C0558D">
      <w:pPr>
        <w:rPr>
          <w:rFonts w:ascii="Arial" w:hAnsi="Arial"/>
          <w:sz w:val="18"/>
          <w:szCs w:val="18"/>
        </w:rPr>
      </w:pPr>
    </w:p>
    <w:p w:rsidR="00055D11" w:rsidRPr="00C0558D" w:rsidRDefault="00055D11">
      <w:pPr>
        <w:rPr>
          <w:rFonts w:ascii="Arial" w:eastAsia="Times New Roman" w:hAnsi="Arial" w:cs="Arial"/>
          <w:b/>
          <w:bCs/>
          <w:color w:val="003768"/>
          <w:kern w:val="32"/>
          <w:sz w:val="36"/>
          <w:szCs w:val="32"/>
        </w:rPr>
      </w:pPr>
    </w:p>
    <w:sectPr w:rsidR="00055D11" w:rsidRPr="00C0558D" w:rsidSect="00C05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4B" w:rsidRDefault="00481E4B" w:rsidP="00C0558D">
      <w:r>
        <w:separator/>
      </w:r>
    </w:p>
  </w:endnote>
  <w:endnote w:type="continuationSeparator" w:id="0">
    <w:p w:rsidR="00481E4B" w:rsidRDefault="00481E4B" w:rsidP="00C0558D">
      <w:r>
        <w:continuationSeparator/>
      </w:r>
    </w:p>
  </w:endnote>
  <w:endnote w:id="1">
    <w:p w:rsidR="00C0558D" w:rsidRPr="00FE3ED3" w:rsidRDefault="00C0558D" w:rsidP="00C0558D">
      <w:pPr>
        <w:pStyle w:val="Eindnoottekst"/>
      </w:pPr>
      <w:r w:rsidRPr="00FE3ED3">
        <w:rPr>
          <w:rFonts w:ascii="Arial" w:hAnsi="Arial"/>
          <w:color w:val="003768"/>
          <w:sz w:val="16"/>
          <w:szCs w:val="16"/>
          <w:lang w:val="en-US"/>
        </w:rPr>
        <w:endnoteRef/>
      </w:r>
      <w:r w:rsidRPr="00FE3ED3">
        <w:rPr>
          <w:rFonts w:ascii="Arial" w:hAnsi="Arial"/>
          <w:color w:val="003768"/>
          <w:sz w:val="16"/>
          <w:szCs w:val="16"/>
          <w:lang w:val="en-US"/>
        </w:rPr>
        <w:t xml:space="preserve"> Annualized growth rate in per capita real survey mean consumption or income of the bottom 40%. However, if this data is not available we can use The World Bank’s share of income held by the lowest 40%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4B" w:rsidRDefault="00481E4B" w:rsidP="00C0558D">
      <w:r>
        <w:separator/>
      </w:r>
    </w:p>
  </w:footnote>
  <w:footnote w:type="continuationSeparator" w:id="0">
    <w:p w:rsidR="00481E4B" w:rsidRDefault="00481E4B" w:rsidP="00C0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5660" w:type="dxa"/>
      <w:tblInd w:w="-792" w:type="dxa"/>
      <w:tblLook w:val="01E0" w:firstRow="1" w:lastRow="1" w:firstColumn="1" w:lastColumn="1" w:noHBand="0" w:noVBand="0"/>
    </w:tblPr>
    <w:tblGrid>
      <w:gridCol w:w="1800"/>
      <w:gridCol w:w="3420"/>
      <w:gridCol w:w="9180"/>
      <w:gridCol w:w="1260"/>
    </w:tblGrid>
    <w:tr w:rsidR="00C0558D" w:rsidRPr="0088562B">
      <w:trPr>
        <w:trHeight w:val="540"/>
      </w:trPr>
      <w:tc>
        <w:tcPr>
          <w:tcW w:w="1800" w:type="dxa"/>
          <w:tcBorders>
            <w:top w:val="nil"/>
            <w:left w:val="nil"/>
            <w:bottom w:val="single" w:sz="4" w:space="0" w:color="FDB913"/>
            <w:right w:val="single" w:sz="24" w:space="0" w:color="FDB913"/>
          </w:tcBorders>
        </w:tcPr>
        <w:p w:rsidR="00C0558D" w:rsidRPr="0088562B" w:rsidRDefault="00C0558D">
          <w:pPr>
            <w:pStyle w:val="Koptekst"/>
          </w:pPr>
        </w:p>
      </w:tc>
      <w:tc>
        <w:tcPr>
          <w:tcW w:w="342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C0558D" w:rsidRPr="00F43EF8" w:rsidRDefault="00C0558D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t>LOGICAL FRAMEWORK</w:t>
          </w:r>
        </w:p>
      </w:tc>
      <w:tc>
        <w:tcPr>
          <w:tcW w:w="9180" w:type="dxa"/>
          <w:tcBorders>
            <w:top w:val="nil"/>
            <w:left w:val="single" w:sz="24" w:space="0" w:color="FDB913"/>
            <w:bottom w:val="single" w:sz="4" w:space="0" w:color="FDB913"/>
            <w:right w:val="single" w:sz="24" w:space="0" w:color="FDB913"/>
          </w:tcBorders>
          <w:vAlign w:val="center"/>
        </w:tcPr>
        <w:p w:rsidR="00C0558D" w:rsidRPr="00F43EF8" w:rsidRDefault="00452E17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>
            <w:rPr>
              <w:rFonts w:ascii="Arial" w:hAnsi="Arial"/>
              <w:color w:val="003769"/>
            </w:rPr>
            <w:t>LGCP South Africa programme</w:t>
          </w:r>
        </w:p>
      </w:tc>
      <w:tc>
        <w:tcPr>
          <w:tcW w:w="1260" w:type="dxa"/>
          <w:tcBorders>
            <w:top w:val="nil"/>
            <w:left w:val="single" w:sz="24" w:space="0" w:color="FDB913"/>
            <w:bottom w:val="single" w:sz="4" w:space="0" w:color="FDB913"/>
            <w:right w:val="nil"/>
          </w:tcBorders>
          <w:vAlign w:val="center"/>
        </w:tcPr>
        <w:p w:rsidR="00C0558D" w:rsidRPr="00F43EF8" w:rsidRDefault="00C0558D" w:rsidP="00DE0251">
          <w:pPr>
            <w:pStyle w:val="Koptekst"/>
            <w:ind w:left="252"/>
            <w:rPr>
              <w:rFonts w:ascii="Arial" w:hAnsi="Arial"/>
              <w:color w:val="003769"/>
            </w:rPr>
          </w:pP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PAGE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452E17">
            <w:rPr>
              <w:rFonts w:ascii="Arial" w:hAnsi="Arial"/>
              <w:noProof/>
              <w:color w:val="003769"/>
            </w:rPr>
            <w:t>1</w:t>
          </w:r>
          <w:r w:rsidRPr="00F43EF8">
            <w:rPr>
              <w:rFonts w:ascii="Arial" w:hAnsi="Arial"/>
              <w:color w:val="003769"/>
            </w:rPr>
            <w:fldChar w:fldCharType="end"/>
          </w:r>
          <w:r w:rsidRPr="00F43EF8">
            <w:rPr>
              <w:rFonts w:ascii="Arial" w:hAnsi="Arial"/>
              <w:color w:val="003769"/>
            </w:rPr>
            <w:t>/</w:t>
          </w:r>
          <w:r w:rsidRPr="00F43EF8">
            <w:rPr>
              <w:rFonts w:ascii="Arial" w:hAnsi="Arial"/>
              <w:color w:val="003769"/>
            </w:rPr>
            <w:fldChar w:fldCharType="begin"/>
          </w:r>
          <w:r w:rsidRPr="00F43EF8">
            <w:rPr>
              <w:rFonts w:ascii="Arial" w:hAnsi="Arial"/>
              <w:color w:val="003769"/>
            </w:rPr>
            <w:instrText xml:space="preserve"> NUMPAGES </w:instrText>
          </w:r>
          <w:r w:rsidRPr="00F43EF8">
            <w:rPr>
              <w:rFonts w:ascii="Arial" w:hAnsi="Arial"/>
              <w:color w:val="003769"/>
            </w:rPr>
            <w:fldChar w:fldCharType="separate"/>
          </w:r>
          <w:r w:rsidR="00452E17">
            <w:rPr>
              <w:rFonts w:ascii="Arial" w:hAnsi="Arial"/>
              <w:noProof/>
              <w:color w:val="003769"/>
            </w:rPr>
            <w:t>6</w:t>
          </w:r>
          <w:r w:rsidRPr="00F43EF8">
            <w:rPr>
              <w:rFonts w:ascii="Arial" w:hAnsi="Arial"/>
              <w:color w:val="003769"/>
            </w:rPr>
            <w:fldChar w:fldCharType="end"/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338"/>
    <w:multiLevelType w:val="hybridMultilevel"/>
    <w:tmpl w:val="7FAEC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162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55F0F42"/>
    <w:multiLevelType w:val="hybridMultilevel"/>
    <w:tmpl w:val="0246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C2EEF"/>
    <w:multiLevelType w:val="hybridMultilevel"/>
    <w:tmpl w:val="7BD2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0DDD"/>
    <w:multiLevelType w:val="hybridMultilevel"/>
    <w:tmpl w:val="7B9464E8"/>
    <w:lvl w:ilvl="0" w:tplc="54FA80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D2E5E82"/>
    <w:multiLevelType w:val="hybridMultilevel"/>
    <w:tmpl w:val="2EC83AEC"/>
    <w:lvl w:ilvl="0" w:tplc="F47AA618">
      <w:start w:val="1"/>
      <w:numFmt w:val="decimal"/>
      <w:lvlText w:val="%1."/>
      <w:lvlJc w:val="left"/>
      <w:pPr>
        <w:ind w:left="417" w:hanging="360"/>
      </w:pPr>
      <w:rPr>
        <w:rFonts w:ascii="Arial" w:eastAsia="MS Mincho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701775D"/>
    <w:multiLevelType w:val="multilevel"/>
    <w:tmpl w:val="D180A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5F685900"/>
    <w:multiLevelType w:val="hybridMultilevel"/>
    <w:tmpl w:val="37341EF2"/>
    <w:lvl w:ilvl="0" w:tplc="FC1E92B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D6705"/>
    <w:multiLevelType w:val="hybridMultilevel"/>
    <w:tmpl w:val="F280B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36531"/>
    <w:multiLevelType w:val="hybridMultilevel"/>
    <w:tmpl w:val="45A66D10"/>
    <w:lvl w:ilvl="0" w:tplc="80EC6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15406"/>
    <w:multiLevelType w:val="hybridMultilevel"/>
    <w:tmpl w:val="53D8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70D46"/>
    <w:multiLevelType w:val="hybridMultilevel"/>
    <w:tmpl w:val="B55E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8D"/>
    <w:rsid w:val="00042225"/>
    <w:rsid w:val="00055D11"/>
    <w:rsid w:val="00243969"/>
    <w:rsid w:val="00452E17"/>
    <w:rsid w:val="00481E4B"/>
    <w:rsid w:val="005153DA"/>
    <w:rsid w:val="00751B77"/>
    <w:rsid w:val="00A34245"/>
    <w:rsid w:val="00B16704"/>
    <w:rsid w:val="00C0558D"/>
    <w:rsid w:val="00D3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558D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C055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558D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C0558D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C0558D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C0558D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C0558D"/>
    <w:rPr>
      <w:rFonts w:ascii="Arial" w:hAnsi="Arial" w:cs="Arial" w:hint="default"/>
      <w:color w:val="003768"/>
    </w:rPr>
  </w:style>
  <w:style w:type="paragraph" w:customStyle="1" w:styleId="ParaAttribute14">
    <w:name w:val="ParaAttribute14"/>
    <w:rsid w:val="00C0558D"/>
    <w:pPr>
      <w:tabs>
        <w:tab w:val="left" w:pos="720"/>
      </w:tabs>
      <w:spacing w:before="12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Default">
    <w:name w:val="Default"/>
    <w:rsid w:val="00C0558D"/>
    <w:pPr>
      <w:autoSpaceDE w:val="0"/>
      <w:autoSpaceDN w:val="0"/>
      <w:adjustRightInd w:val="0"/>
      <w:spacing w:line="240" w:lineRule="auto"/>
    </w:pPr>
    <w:rPr>
      <w:rFonts w:eastAsia="¹Å" w:cs="Arial"/>
      <w:iCs w:val="0"/>
      <w:color w:val="000000"/>
      <w:sz w:val="24"/>
      <w:lang w:val="en-GB" w:eastAsia="en-GB"/>
    </w:rPr>
  </w:style>
  <w:style w:type="paragraph" w:styleId="Eindnoottekst">
    <w:name w:val="endnote text"/>
    <w:basedOn w:val="Standaard"/>
    <w:link w:val="EindnoottekstChar"/>
    <w:uiPriority w:val="99"/>
    <w:unhideWhenUsed/>
    <w:rsid w:val="00C0558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0558D"/>
    <w:rPr>
      <w:rFonts w:ascii="Times New Roman" w:eastAsia="MS Mincho" w:hAnsi="Times New Roman" w:cs="Times New Roman"/>
      <w:iCs w:val="0"/>
      <w:szCs w:val="20"/>
      <w:lang w:val="en-GB" w:eastAsia="en-GB"/>
    </w:rPr>
  </w:style>
  <w:style w:type="paragraph" w:styleId="Voettekst">
    <w:name w:val="footer"/>
    <w:basedOn w:val="Standaard"/>
    <w:link w:val="VoettekstChar"/>
    <w:rsid w:val="00452E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52E17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iCs/>
        <w:szCs w:val="24"/>
        <w:lang w:val="nl-NL" w:eastAsia="nl-NL" w:bidi="ar-SA"/>
      </w:rPr>
    </w:rPrDefault>
    <w:pPrDefault>
      <w:pPr>
        <w:spacing w:line="31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558D"/>
    <w:pPr>
      <w:spacing w:line="240" w:lineRule="auto"/>
    </w:pPr>
    <w:rPr>
      <w:rFonts w:ascii="Times New Roman" w:eastAsia="MS Mincho" w:hAnsi="Times New Roman" w:cs="Times New Roman"/>
      <w:iCs w:val="0"/>
      <w:sz w:val="24"/>
      <w:lang w:val="en-GB" w:eastAsia="en-GB"/>
    </w:rPr>
  </w:style>
  <w:style w:type="paragraph" w:styleId="Kop1">
    <w:name w:val="heading 1"/>
    <w:basedOn w:val="Standaard"/>
    <w:next w:val="Standaard"/>
    <w:link w:val="Kop1Char"/>
    <w:qFormat/>
    <w:rsid w:val="00243969"/>
    <w:pPr>
      <w:keepNext/>
      <w:keepLines/>
      <w:spacing w:before="120" w:after="120"/>
      <w:outlineLvl w:val="0"/>
    </w:pPr>
    <w:rPr>
      <w:rFonts w:eastAsiaTheme="majorEastAsia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43969"/>
    <w:rPr>
      <w:rFonts w:eastAsiaTheme="majorEastAsia" w:cstheme="majorBidi"/>
      <w:b/>
      <w:bCs/>
      <w:sz w:val="24"/>
      <w:szCs w:val="28"/>
    </w:rPr>
  </w:style>
  <w:style w:type="paragraph" w:styleId="Ondertitel">
    <w:name w:val="Subtitle"/>
    <w:basedOn w:val="Standaard"/>
    <w:next w:val="Standaard"/>
    <w:link w:val="OndertitelChar"/>
    <w:qFormat/>
    <w:rsid w:val="00243969"/>
    <w:pPr>
      <w:numPr>
        <w:ilvl w:val="1"/>
      </w:numPr>
    </w:pPr>
    <w:rPr>
      <w:rFonts w:eastAsiaTheme="majorEastAsia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rsid w:val="00243969"/>
    <w:rPr>
      <w:rFonts w:eastAsiaTheme="majorEastAsia" w:cstheme="majorBidi"/>
      <w:i/>
      <w:iCs/>
      <w:spacing w:val="15"/>
    </w:rPr>
  </w:style>
  <w:style w:type="paragraph" w:styleId="Koptekst">
    <w:name w:val="header"/>
    <w:basedOn w:val="Standaard"/>
    <w:link w:val="KoptekstChar"/>
    <w:rsid w:val="00C055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558D"/>
    <w:rPr>
      <w:rFonts w:ascii="Times New Roman" w:eastAsia="MS Mincho" w:hAnsi="Times New Roman" w:cs="Times New Roman"/>
      <w:iCs w:val="0"/>
      <w:sz w:val="24"/>
      <w:lang w:val="en-GB" w:eastAsia="en-GB"/>
    </w:rPr>
  </w:style>
  <w:style w:type="table" w:styleId="Tabelraster">
    <w:name w:val="Table Grid"/>
    <w:basedOn w:val="Standaardtabel"/>
    <w:rsid w:val="00C0558D"/>
    <w:pPr>
      <w:spacing w:line="240" w:lineRule="auto"/>
    </w:pPr>
    <w:rPr>
      <w:rFonts w:ascii="Times New Roman" w:eastAsia="MS Mincho" w:hAnsi="Times New Roman" w:cs="Times New Roman"/>
      <w:iCs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99"/>
    <w:qFormat/>
    <w:rsid w:val="00C0558D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99"/>
    <w:rsid w:val="00C0558D"/>
    <w:rPr>
      <w:rFonts w:ascii="Times New Roman" w:eastAsia="MS Mincho" w:hAnsi="Times New Roman" w:cs="Times New Roman"/>
      <w:iCs w:val="0"/>
      <w:sz w:val="24"/>
      <w:lang w:val="en-GB" w:eastAsia="en-GB"/>
    </w:rPr>
  </w:style>
  <w:style w:type="character" w:customStyle="1" w:styleId="CharAttribute9">
    <w:name w:val="CharAttribute9"/>
    <w:basedOn w:val="Standaardalinea-lettertype"/>
    <w:rsid w:val="00C0558D"/>
    <w:rPr>
      <w:rFonts w:ascii="Arial" w:hAnsi="Arial" w:cs="Arial" w:hint="default"/>
      <w:color w:val="003768"/>
    </w:rPr>
  </w:style>
  <w:style w:type="paragraph" w:customStyle="1" w:styleId="ParaAttribute14">
    <w:name w:val="ParaAttribute14"/>
    <w:rsid w:val="00C0558D"/>
    <w:pPr>
      <w:tabs>
        <w:tab w:val="left" w:pos="720"/>
      </w:tabs>
      <w:spacing w:before="120" w:after="480" w:line="240" w:lineRule="auto"/>
      <w:ind w:left="57" w:right="74"/>
    </w:pPr>
    <w:rPr>
      <w:rFonts w:ascii="Times New Roman" w:eastAsia="¹Å" w:hAnsi="Times New Roman" w:cs="Times New Roman"/>
      <w:iCs w:val="0"/>
      <w:szCs w:val="20"/>
      <w:lang w:val="en-GB" w:eastAsia="en-GB"/>
    </w:rPr>
  </w:style>
  <w:style w:type="paragraph" w:customStyle="1" w:styleId="Default">
    <w:name w:val="Default"/>
    <w:rsid w:val="00C0558D"/>
    <w:pPr>
      <w:autoSpaceDE w:val="0"/>
      <w:autoSpaceDN w:val="0"/>
      <w:adjustRightInd w:val="0"/>
      <w:spacing w:line="240" w:lineRule="auto"/>
    </w:pPr>
    <w:rPr>
      <w:rFonts w:eastAsia="¹Å" w:cs="Arial"/>
      <w:iCs w:val="0"/>
      <w:color w:val="000000"/>
      <w:sz w:val="24"/>
      <w:lang w:val="en-GB" w:eastAsia="en-GB"/>
    </w:rPr>
  </w:style>
  <w:style w:type="paragraph" w:styleId="Eindnoottekst">
    <w:name w:val="endnote text"/>
    <w:basedOn w:val="Standaard"/>
    <w:link w:val="EindnoottekstChar"/>
    <w:uiPriority w:val="99"/>
    <w:unhideWhenUsed/>
    <w:rsid w:val="00C0558D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0558D"/>
    <w:rPr>
      <w:rFonts w:ascii="Times New Roman" w:eastAsia="MS Mincho" w:hAnsi="Times New Roman" w:cs="Times New Roman"/>
      <w:iCs w:val="0"/>
      <w:szCs w:val="20"/>
      <w:lang w:val="en-GB" w:eastAsia="en-GB"/>
    </w:rPr>
  </w:style>
  <w:style w:type="paragraph" w:styleId="Voettekst">
    <w:name w:val="footer"/>
    <w:basedOn w:val="Standaard"/>
    <w:link w:val="VoettekstChar"/>
    <w:rsid w:val="00452E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52E17"/>
    <w:rPr>
      <w:rFonts w:ascii="Times New Roman" w:eastAsia="MS Mincho" w:hAnsi="Times New Roman" w:cs="Times New Roman"/>
      <w:iCs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Nederlandse Gemeenten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Anneloes Winkster</dc:creator>
  <cp:lastModifiedBy>Irene ten Teije</cp:lastModifiedBy>
  <cp:revision>2</cp:revision>
  <dcterms:created xsi:type="dcterms:W3CDTF">2015-10-30T15:15:00Z</dcterms:created>
  <dcterms:modified xsi:type="dcterms:W3CDTF">2015-10-30T15:15:00Z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ynDocOpportunityDesc">
    <vt:lpwstr>
    </vt:lpwstr>
  </property>
  <property fmtid="{D5CDD505-2E9C-101B-9397-08002B2CF9AE}" pid="3" name="eSynDocOpportunityID">
    <vt:lpwstr>
    </vt:lpwstr>
  </property>
  <property fmtid="{D5CDD505-2E9C-101B-9397-08002B2CF9AE}" pid="4" name="eSynDocAttachmentID">
    <vt:lpwstr>{b539b83c-6d7c-4ddf-930c-92f4845a742c}</vt:lpwstr>
  </property>
  <property fmtid="{D5CDD505-2E9C-101B-9397-08002B2CF9AE}" pid="5" name="eSynDocContactDesc">
    <vt:lpwstr>
    </vt:lpwstr>
  </property>
  <property fmtid="{D5CDD505-2E9C-101B-9397-08002B2CF9AE}" pid="6" name="eSynDocAccountDesc">
    <vt:lpwstr>
    </vt:lpwstr>
  </property>
  <property fmtid="{D5CDD505-2E9C-101B-9397-08002B2CF9AE}" pid="7" name="eSynDocProjectDesc">
    <vt:lpwstr>* Country Programmes</vt:lpwstr>
  </property>
  <property fmtid="{D5CDD505-2E9C-101B-9397-08002B2CF9AE}" pid="8" name="eSynDocTransactionDesc">
    <vt:lpwstr>
    </vt:lpwstr>
  </property>
  <property fmtid="{D5CDD505-2E9C-101B-9397-08002B2CF9AE}" pid="9" name="eSynDocSerialDesc">
    <vt:lpwstr>
    </vt:lpwstr>
  </property>
  <property fmtid="{D5CDD505-2E9C-101B-9397-08002B2CF9AE}" pid="10" name="eSynDocItemDesc">
    <vt:lpwstr>
    </vt:lpwstr>
  </property>
  <property fmtid="{D5CDD505-2E9C-101B-9397-08002B2CF9AE}" pid="11" name="eSynDocResourceDesc">
    <vt:lpwstr>
    </vt:lpwstr>
  </property>
  <property fmtid="{D5CDD505-2E9C-101B-9397-08002B2CF9AE}" pid="12" name="eSynTransactionEntryKey">
    <vt:lpwstr>
    </vt:lpwstr>
  </property>
  <property fmtid="{D5CDD505-2E9C-101B-9397-08002B2CF9AE}" pid="13" name="eSynDocVersionStartDate">
    <vt:lpwstr>
    </vt:lpwstr>
  </property>
  <property fmtid="{D5CDD505-2E9C-101B-9397-08002B2CF9AE}" pid="14" name="eSynDocVersion">
    <vt:lpwstr>
    </vt:lpwstr>
  </property>
  <property fmtid="{D5CDD505-2E9C-101B-9397-08002B2CF9AE}" pid="15" name="eSynDocAttachFileName">
    <vt:lpwstr>South Africa logical framework.docx</vt:lpwstr>
  </property>
  <property fmtid="{D5CDD505-2E9C-101B-9397-08002B2CF9AE}" pid="16" name="eSynDocSummary">
    <vt:lpwstr>
    </vt:lpwstr>
  </property>
  <property fmtid="{D5CDD505-2E9C-101B-9397-08002B2CF9AE}" pid="17" name="eSynDocPublish">
    <vt:lpwstr>0</vt:lpwstr>
  </property>
  <property fmtid="{D5CDD505-2E9C-101B-9397-08002B2CF9AE}" pid="18" name="eSynDocTypeID">
    <vt:lpwstr>148</vt:lpwstr>
  </property>
  <property fmtid="{D5CDD505-2E9C-101B-9397-08002B2CF9AE}" pid="19" name="eSynDocSerialNumber">
    <vt:lpwstr>
    </vt:lpwstr>
  </property>
  <property fmtid="{D5CDD505-2E9C-101B-9397-08002B2CF9AE}" pid="20" name="eSynDocSubject">
    <vt:lpwstr>New logical frameworks LGCP 2012-2016 (June 2015)</vt:lpwstr>
  </property>
  <property fmtid="{D5CDD505-2E9C-101B-9397-08002B2CF9AE}" pid="21" name="eSynDocItem">
    <vt:lpwstr>
    </vt:lpwstr>
  </property>
  <property fmtid="{D5CDD505-2E9C-101B-9397-08002B2CF9AE}" pid="22" name="eSynDocAcctContact">
    <vt:lpwstr>
    </vt:lpwstr>
  </property>
  <property fmtid="{D5CDD505-2E9C-101B-9397-08002B2CF9AE}" pid="23" name="eSynDocContactID">
    <vt:lpwstr>
    </vt:lpwstr>
  </property>
  <property fmtid="{D5CDD505-2E9C-101B-9397-08002B2CF9AE}" pid="24" name="eSynDocAccount">
    <vt:lpwstr>
    </vt:lpwstr>
  </property>
  <property fmtid="{D5CDD505-2E9C-101B-9397-08002B2CF9AE}" pid="25" name="eSynDocResource">
    <vt:lpwstr>
    </vt:lpwstr>
  </property>
  <property fmtid="{D5CDD505-2E9C-101B-9397-08002B2CF9AE}" pid="26" name="eSynDocProjectNr">
    <vt:lpwstr>LG.01.00</vt:lpwstr>
  </property>
  <property fmtid="{D5CDD505-2E9C-101B-9397-08002B2CF9AE}" pid="27" name="eSynDocSecurity">
    <vt:lpwstr>10</vt:lpwstr>
  </property>
  <property fmtid="{D5CDD505-2E9C-101B-9397-08002B2CF9AE}" pid="28" name="eSynDocAssortment">
    <vt:lpwstr>
    </vt:lpwstr>
  </property>
  <property fmtid="{D5CDD505-2E9C-101B-9397-08002B2CF9AE}" pid="29" name="eSynDocLanguageCode">
    <vt:lpwstr>
    </vt:lpwstr>
  </property>
  <property fmtid="{D5CDD505-2E9C-101B-9397-08002B2CF9AE}" pid="30" name="eSynDocDivisionDesc">
    <vt:lpwstr>VNG International</vt:lpwstr>
  </property>
  <property fmtid="{D5CDD505-2E9C-101B-9397-08002B2CF9AE}" pid="31" name="eSynDocDivision">
    <vt:lpwstr>100</vt:lpwstr>
  </property>
  <property fmtid="{D5CDD505-2E9C-101B-9397-08002B2CF9AE}" pid="32" name="eSynDocParentDocument">
    <vt:lpwstr>
    </vt:lpwstr>
  </property>
  <property fmtid="{D5CDD505-2E9C-101B-9397-08002B2CF9AE}" pid="33" name="eSynDocSubCategory">
    <vt:lpwstr>
    </vt:lpwstr>
  </property>
  <property fmtid="{D5CDD505-2E9C-101B-9397-08002B2CF9AE}" pid="34" name="eSynDocCategoryID">
    <vt:lpwstr>
    </vt:lpwstr>
  </property>
  <property fmtid="{D5CDD505-2E9C-101B-9397-08002B2CF9AE}" pid="35" name="eSynDocGroupDesc">
    <vt:lpwstr>Attachments &amp; notes</vt:lpwstr>
  </property>
  <property fmtid="{D5CDD505-2E9C-101B-9397-08002B2CF9AE}" pid="36" name="eSynDocGroupID">
    <vt:lpwstr>0</vt:lpwstr>
  </property>
  <property fmtid="{D5CDD505-2E9C-101B-9397-08002B2CF9AE}" pid="37" name="eSynDocHID">
    <vt:lpwstr>211690</vt:lpwstr>
  </property>
  <property fmtid="{D5CDD505-2E9C-101B-9397-08002B2CF9AE}" pid="38" name="eSynCleanUp10/30/2015 16:15:07">
    <vt:i4>1</vt:i4>
  </property>
  <property name="eSynCleanUp11/06/2015 12:46:42" fmtid="{D5CDD505-2E9C-101B-9397-08002B2CF9AE}" pid="39">
    <vt:i4>1</vt:i4>
  </property>
</Properties>
</file>