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1F" w:rsidRPr="00691CC3" w:rsidRDefault="003A091F" w:rsidP="003A091F">
      <w:bookmarkStart w:id="0" w:name="_GoBack"/>
      <w:bookmarkEnd w:id="0"/>
    </w:p>
    <w:tbl>
      <w:tblPr>
        <w:tblStyle w:val="Tabelraster"/>
        <w:tblW w:w="15660" w:type="dxa"/>
        <w:tblInd w:w="-792" w:type="dxa"/>
        <w:tblBorders>
          <w:top w:val="single" w:sz="4" w:space="0" w:color="FDB913"/>
          <w:left w:val="single" w:sz="4" w:space="0" w:color="FDB913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465"/>
        <w:gridCol w:w="3465"/>
        <w:gridCol w:w="3465"/>
        <w:gridCol w:w="3465"/>
      </w:tblGrid>
      <w:tr w:rsidR="003A091F" w:rsidRPr="00691CC3" w:rsidTr="00EB2635">
        <w:trPr>
          <w:trHeight w:val="567"/>
          <w:tblHeader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3A091F" w:rsidRPr="00691CC3" w:rsidRDefault="003A091F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Overall Objective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A091F" w:rsidRPr="00691CC3" w:rsidRDefault="003A091F" w:rsidP="00EB2635">
            <w:pPr>
              <w:tabs>
                <w:tab w:val="num" w:pos="720"/>
              </w:tabs>
              <w:spacing w:before="120"/>
              <w:jc w:val="center"/>
              <w:rPr>
                <w:rFonts w:ascii="Arial" w:hAnsi="Arial"/>
                <w:b/>
                <w:color w:val="003768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3A091F" w:rsidRPr="00691CC3" w:rsidRDefault="003A091F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Intervention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3A091F" w:rsidRPr="00691CC3" w:rsidRDefault="003A091F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Objective verifiable indicators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3A091F" w:rsidRPr="00691CC3" w:rsidRDefault="003A091F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Sources of verification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3A091F" w:rsidRPr="00691CC3" w:rsidRDefault="003A091F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Assumptions</w:t>
            </w:r>
          </w:p>
        </w:tc>
      </w:tr>
      <w:tr w:rsidR="003A091F" w:rsidRPr="00691CC3" w:rsidTr="00EB2635">
        <w:trPr>
          <w:cantSplit/>
          <w:trHeight w:val="1876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3A091F" w:rsidRPr="00691CC3" w:rsidRDefault="003A091F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3A091F" w:rsidRPr="00691CC3" w:rsidRDefault="003A091F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3A091F" w:rsidRPr="00691CC3" w:rsidRDefault="003A091F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Improved public services by local governments with respect to family planning and land registration for food security in Burundi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3A091F" w:rsidRPr="00691CC3" w:rsidRDefault="003A091F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land related conflicts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land certificates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Population growth rate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3A091F" w:rsidRPr="00691CC3" w:rsidRDefault="003A091F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3A091F" w:rsidRPr="005B5F08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  <w:lang w:val="fr-FR"/>
              </w:rPr>
            </w:pPr>
            <w:r w:rsidRPr="005B5F08">
              <w:rPr>
                <w:rFonts w:ascii="Arial" w:hAnsi="Arial"/>
                <w:color w:val="003768"/>
                <w:sz w:val="16"/>
                <w:szCs w:val="16"/>
                <w:lang w:val="fr-FR"/>
              </w:rPr>
              <w:t>Commission Nationale des Terres et autres Biens (CNTB)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Ministry of Communal Development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Index Mundi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  <w:shd w:val="clear" w:color="auto" w:fill="FFC000"/>
          </w:tcPr>
          <w:p w:rsidR="003A091F" w:rsidRPr="00691CC3" w:rsidRDefault="003A091F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3A091F" w:rsidRPr="00691CC3" w:rsidRDefault="003A091F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3A091F" w:rsidRPr="00691CC3" w:rsidTr="00EB2635">
        <w:trPr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91F" w:rsidRPr="00691CC3" w:rsidRDefault="003A091F" w:rsidP="00EB2635">
            <w:pPr>
              <w:tabs>
                <w:tab w:val="num" w:pos="720"/>
              </w:tabs>
              <w:ind w:left="113" w:right="74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768"/>
          </w:tcPr>
          <w:p w:rsidR="003A091F" w:rsidRPr="00691CC3" w:rsidRDefault="003A091F" w:rsidP="00EB2635">
            <w:pPr>
              <w:tabs>
                <w:tab w:val="num" w:pos="720"/>
              </w:tabs>
              <w:spacing w:before="120"/>
              <w:ind w:left="74" w:right="74"/>
              <w:rPr>
                <w:rFonts w:ascii="Arial" w:hAnsi="Arial"/>
                <w:color w:val="003768"/>
                <w:sz w:val="2"/>
                <w:szCs w:val="2"/>
              </w:rPr>
            </w:pPr>
          </w:p>
        </w:tc>
      </w:tr>
      <w:tr w:rsidR="003A091F" w:rsidRPr="00691CC3" w:rsidTr="00EB2635">
        <w:trPr>
          <w:cantSplit/>
          <w:trHeight w:val="9348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003768"/>
            <w:textDirection w:val="tbRl"/>
          </w:tcPr>
          <w:p w:rsidR="003A091F" w:rsidRPr="00691CC3" w:rsidRDefault="003A091F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lastRenderedPageBreak/>
              <w:t>Specific Objective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A091F" w:rsidRPr="00691CC3" w:rsidRDefault="003A091F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A091F" w:rsidRPr="00691CC3" w:rsidRDefault="003A091F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ABELO is undertaking action that allows to provide services on decentralised land registration, councillors’ functioning and family planning to its members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4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Strategic Plan 2014-2016 for ABELO developed and endorsed by all its members 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4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Number of training and sensitisation materials on decentralised land registration, family planning and councillors’ functioning developed, disseminated and reviewed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4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Number of member communes’ staff trained by ABELO on decentralised land registration, family planning and councillors’ functioning 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4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Number of formal contacts between ABELO and member communes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Exchange of experiences and mutual learning amongst member districts has been facilitated by ABELO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Consultation of ABELO with (national) stakeholders (by participating in the appropriate coordination mechanisms) around decentralised land registration and family planning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A091F" w:rsidRPr="00691CC3" w:rsidRDefault="003A091F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Board decisions, minutes and reports of Board meetings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Strategic Plan 2014-2016 and written proof of endorsement of the communes of the ABELO Strategic Plan 2014-2016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ABELO annual plans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ABELO financial accounts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ABELO M-E system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ABELO training and sensitisation materials on decentralised land registration, family planning and councillors’ functioning 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ABELO training and sensitisation materials distribution list 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Participants’ lists of trainings for member communes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Minutes of ABELO membership consultation meetings and membership evaluation forms 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of ABELO consultation with (national) stakeholders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Tool(s) for the exchange of experiences and mutual learning amongst member communes, e.g. a periodical newsletter, website,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sms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services and other communication materials and techniques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Reports ABELO and VNG International experts and staff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A091F" w:rsidRPr="00691CC3" w:rsidRDefault="003A091F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Individual member communes are eligible for training, since they have paid their membership fees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Availability of sufficient  staff at communes with adequate qualifications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Central government HR policy implementation assures limited staff turn-over</w:t>
            </w:r>
          </w:p>
          <w:p w:rsidR="003A091F" w:rsidRPr="00E02548" w:rsidRDefault="003A091F" w:rsidP="003A091F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Willingness to commit to gender in national policies affecting the communes</w:t>
            </w:r>
          </w:p>
        </w:tc>
      </w:tr>
    </w:tbl>
    <w:p w:rsidR="003A091F" w:rsidRPr="00691CC3" w:rsidRDefault="003A091F" w:rsidP="003A091F">
      <w:pPr>
        <w:rPr>
          <w:rFonts w:ascii="Arial" w:hAnsi="Arial"/>
          <w:sz w:val="18"/>
          <w:szCs w:val="18"/>
        </w:rPr>
        <w:sectPr w:rsidR="003A091F" w:rsidRPr="00691CC3" w:rsidSect="002E4EB6">
          <w:headerReference w:type="default" r:id="rId8"/>
          <w:pgSz w:w="16838" w:h="11906" w:orient="landscape" w:code="9"/>
          <w:pgMar w:top="2693" w:right="998" w:bottom="1134" w:left="1418" w:header="1134" w:footer="709" w:gutter="0"/>
          <w:cols w:space="708"/>
          <w:docGrid w:linePitch="360"/>
        </w:sectPr>
      </w:pP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237"/>
        <w:gridCol w:w="3917"/>
        <w:gridCol w:w="3413"/>
        <w:gridCol w:w="3420"/>
      </w:tblGrid>
      <w:tr w:rsidR="003A091F" w:rsidRPr="00691CC3" w:rsidTr="00EB2635">
        <w:trPr>
          <w:trHeight w:val="284"/>
        </w:trPr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tcBorders>
              <w:bottom w:val="single" w:sz="4" w:space="0" w:color="FDB913"/>
            </w:tcBorders>
            <w:shd w:val="clear" w:color="auto" w:fill="003768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Results</w:t>
            </w:r>
            <w:r w:rsidRPr="00691CC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3A091F" w:rsidRPr="00691CC3" w:rsidTr="00EB2635">
        <w:trPr>
          <w:trHeight w:val="237"/>
        </w:trPr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237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ABELO to deliver services on decentralised land registration, councillor functioning and family planning to its members and organising platforms for exchange</w:t>
            </w:r>
          </w:p>
        </w:tc>
        <w:tc>
          <w:tcPr>
            <w:tcW w:w="3917" w:type="dxa"/>
          </w:tcPr>
          <w:p w:rsidR="003A091F" w:rsidRPr="00691CC3" w:rsidRDefault="003A091F" w:rsidP="003A091F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ABELO Board members have been consulted regarding the development of the Strategic Plan 2014-2016  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strategies plan 2014-2016 is in place and describe the priorities of ABELO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strategic plan and annual plans are carried out and results are achieved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Strategies to mobilize resources (human, institutional and financial) are in place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Expertise of ABELO staff is adequate in view of the objectives of ABELO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Monitoring and Evaluation moments are determined and realised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Learning from within the organisation and from other organisations has taken place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management is able to deal strategically with external pressure and conflicting demands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is capable of handling external support coherently in its strategies and policies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ABELO is capable of integrating external support in an adequate way into their own strategy and operations </w:t>
            </w:r>
          </w:p>
        </w:tc>
        <w:tc>
          <w:tcPr>
            <w:tcW w:w="3413" w:type="dxa"/>
          </w:tcPr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Board decisions, minutes and reports of Board meetings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Strategic Plan 2014-2016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annual plans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financial accounts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M-E system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Minutes of ABELO membership consultation meetings and membership evaluation forms 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platform instruments and events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ABELO training and sensitisation materials on decentralised land registration, family planning and councillors’ functioning 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5C assessment</w:t>
            </w:r>
          </w:p>
          <w:p w:rsidR="003A091F" w:rsidRPr="00691CC3" w:rsidRDefault="003A091F" w:rsidP="003A091F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Reports ABELO and VNG International experts and staff</w:t>
            </w:r>
          </w:p>
        </w:tc>
        <w:tc>
          <w:tcPr>
            <w:tcW w:w="3420" w:type="dxa"/>
          </w:tcPr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Decision making ABELO is transparent 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Political leadership of ABELO is willing to be open over decision-making to central government and/or to their constituents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Management of the administrative organisation in ABELO is willing to be open over policy preparation and implementation to the political leadership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Decision making by political leadership of ABELO takes development objectives into account 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Number and composition of ABELO staff is adequate in view of the objectives of ABELO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Relationships between politicians and administrative staff of ABELO are effective, there are no conflicts of competences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ABELO’s funding levels (membership fees, development partners’ funding and payment for services) are adequate in view of the objectives of ABELO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Political leadership of ABELO responds adequately to changes in the context and the environment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The political leadership of ABELO encourages internal learning and reflection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maintains relevant relationships with external stakeholders in private, civil society and central government arenas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ABELO is accountable to central government and their constituents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Political leadership of ABELO is capable of maintaining coherence between ambition, vision, strategy and operations</w:t>
            </w:r>
          </w:p>
        </w:tc>
      </w:tr>
    </w:tbl>
    <w:p w:rsidR="003A091F" w:rsidRPr="00691CC3" w:rsidRDefault="003A091F" w:rsidP="003A091F"/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3A091F" w:rsidRPr="00691CC3" w:rsidRDefault="003A091F" w:rsidP="00EB2635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1:  </w:t>
            </w:r>
            <w:r w:rsidRPr="00691CC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 capacity of ABELO to deliver services on decentralised land registration, councillor functioning and family planning to its members and organising platforms for exchange has been strengthened</w:t>
            </w:r>
          </w:p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3A091F" w:rsidRPr="00691CC3" w:rsidRDefault="003A091F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3768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</w:t>
            </w:r>
          </w:p>
        </w:tc>
        <w:tc>
          <w:tcPr>
            <w:tcW w:w="3639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Conduct a baseline study of ABELO to assess the capacity gaps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3A091F" w:rsidRPr="00691CC3" w:rsidRDefault="003A091F" w:rsidP="003A091F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Political neutrality of ABELO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Political stability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Adequate ABELO staff and board in place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Conducive national context for implementation of decentralisation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Collaboration and coordination with other relevant capacity development institutions / agencies</w:t>
            </w:r>
          </w:p>
          <w:p w:rsidR="003A091F" w:rsidRPr="00691CC3" w:rsidRDefault="003A091F" w:rsidP="003A091F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Members not inhibited to contribute positively their feedback to ABELO</w:t>
            </w:r>
          </w:p>
          <w:p w:rsidR="003A091F" w:rsidRPr="00691CC3" w:rsidRDefault="003A091F" w:rsidP="00EB2635">
            <w:pPr>
              <w:pStyle w:val="Lijstalinea"/>
              <w:spacing w:before="120" w:after="120"/>
              <w:ind w:left="41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1.2</w:t>
            </w:r>
          </w:p>
        </w:tc>
        <w:tc>
          <w:tcPr>
            <w:tcW w:w="3639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Advice to ABELO on Board member consultation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A091F" w:rsidRPr="00691CC3" w:rsidRDefault="003A091F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1.3</w:t>
            </w:r>
          </w:p>
        </w:tc>
        <w:tc>
          <w:tcPr>
            <w:tcW w:w="3639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to ABELO on the participatory development, endorsement and implementation of a realistic three-year Strategic Plan (for 2014-2016)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1.4</w:t>
            </w:r>
          </w:p>
        </w:tc>
        <w:tc>
          <w:tcPr>
            <w:tcW w:w="3639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 ABELO staff on decentralised land registration, councillors' functioning, and family planning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1.5</w:t>
            </w:r>
          </w:p>
        </w:tc>
        <w:tc>
          <w:tcPr>
            <w:tcW w:w="3639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 the development and distribution of materials on decentralised land registration and family planning.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A091F" w:rsidRPr="00691CC3" w:rsidRDefault="003A091F" w:rsidP="00EB2635"/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1.6</w:t>
            </w:r>
          </w:p>
        </w:tc>
        <w:tc>
          <w:tcPr>
            <w:tcW w:w="3639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 the translation and distribution of the ABELO Councillors’ Manual in French/Kirundi.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A091F" w:rsidRPr="00691CC3" w:rsidRDefault="003A091F" w:rsidP="00EB2635"/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1.7</w:t>
            </w:r>
          </w:p>
        </w:tc>
        <w:tc>
          <w:tcPr>
            <w:tcW w:w="3639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 ABELO to offer training to commune staff members in decentralised land registration, family planning and councillors’ functioning, and improvement of the training service.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A091F" w:rsidRPr="00691CC3" w:rsidRDefault="003A091F" w:rsidP="00EB2635"/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1.8</w:t>
            </w:r>
          </w:p>
        </w:tc>
        <w:tc>
          <w:tcPr>
            <w:tcW w:w="3639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of ABELO in elaborating a Monitoring and Evaluation system on ABELO services, beneficiaries’ needs and satisfaction and adequacy of materials.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A091F" w:rsidRPr="00691CC3" w:rsidRDefault="003A091F" w:rsidP="00EB2635"/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1.9</w:t>
            </w:r>
          </w:p>
        </w:tc>
        <w:tc>
          <w:tcPr>
            <w:tcW w:w="3639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of ABELO leadership in interpreting the data from the Monitoring and Evaluation system, which means interpretation of the level of member satisfaction with and adaptation of ABELO services.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A091F" w:rsidRPr="00691CC3" w:rsidRDefault="003A091F" w:rsidP="00EB2635"/>
        </w:tc>
      </w:tr>
      <w:tr w:rsidR="003A091F" w:rsidRPr="00691CC3" w:rsidTr="00EB2635">
        <w:tc>
          <w:tcPr>
            <w:tcW w:w="953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1.10</w:t>
            </w:r>
          </w:p>
        </w:tc>
        <w:tc>
          <w:tcPr>
            <w:tcW w:w="3639" w:type="dxa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Developing with ABELO tools for the exchange of experiences and mutual learning amongst member communes, e.g. a periodical newsletter, website,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sms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services and other communication materials and techniques.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3A091F" w:rsidRPr="00691CC3" w:rsidRDefault="003A091F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3A091F" w:rsidRPr="00691CC3" w:rsidRDefault="003A091F" w:rsidP="00EB2635"/>
        </w:tc>
      </w:tr>
    </w:tbl>
    <w:p w:rsidR="00055D11" w:rsidRDefault="00055D11"/>
    <w:sectPr w:rsidR="00055D11" w:rsidSect="003A0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EE" w:rsidRDefault="00A121EE">
      <w:r>
        <w:separator/>
      </w:r>
    </w:p>
  </w:endnote>
  <w:endnote w:type="continuationSeparator" w:id="0">
    <w:p w:rsidR="00A121EE" w:rsidRDefault="00A1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EE" w:rsidRDefault="00A121EE">
      <w:r>
        <w:separator/>
      </w:r>
    </w:p>
  </w:footnote>
  <w:footnote w:type="continuationSeparator" w:id="0">
    <w:p w:rsidR="00A121EE" w:rsidRDefault="00A1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660" w:type="dxa"/>
      <w:tblInd w:w="-792" w:type="dxa"/>
      <w:tblLook w:val="01E0" w:firstRow="1" w:lastRow="1" w:firstColumn="1" w:lastColumn="1" w:noHBand="0" w:noVBand="0"/>
    </w:tblPr>
    <w:tblGrid>
      <w:gridCol w:w="1800"/>
      <w:gridCol w:w="3420"/>
      <w:gridCol w:w="9180"/>
      <w:gridCol w:w="1260"/>
    </w:tblGrid>
    <w:tr w:rsidR="005B5F08" w:rsidRPr="0088562B">
      <w:trPr>
        <w:trHeight w:val="540"/>
      </w:trPr>
      <w:tc>
        <w:tcPr>
          <w:tcW w:w="1800" w:type="dxa"/>
          <w:tcBorders>
            <w:top w:val="nil"/>
            <w:left w:val="nil"/>
            <w:bottom w:val="single" w:sz="4" w:space="0" w:color="FDB913"/>
            <w:right w:val="single" w:sz="24" w:space="0" w:color="FDB913"/>
          </w:tcBorders>
        </w:tcPr>
        <w:p w:rsidR="005B5F08" w:rsidRPr="0088562B" w:rsidRDefault="00A121EE">
          <w:pPr>
            <w:pStyle w:val="Koptekst"/>
          </w:pPr>
        </w:p>
      </w:tc>
      <w:tc>
        <w:tcPr>
          <w:tcW w:w="342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3A091F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t>LOGICAL FRAMEWORK</w:t>
          </w:r>
        </w:p>
      </w:tc>
      <w:tc>
        <w:tcPr>
          <w:tcW w:w="918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B20CF6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>
            <w:rPr>
              <w:rFonts w:ascii="Arial" w:hAnsi="Arial"/>
              <w:color w:val="003769"/>
            </w:rPr>
            <w:t>LGCP Burundi programme</w:t>
          </w:r>
        </w:p>
      </w:tc>
      <w:tc>
        <w:tcPr>
          <w:tcW w:w="1260" w:type="dxa"/>
          <w:tcBorders>
            <w:top w:val="nil"/>
            <w:left w:val="single" w:sz="24" w:space="0" w:color="FDB913"/>
            <w:bottom w:val="single" w:sz="4" w:space="0" w:color="FDB913"/>
            <w:right w:val="nil"/>
          </w:tcBorders>
          <w:vAlign w:val="center"/>
        </w:tcPr>
        <w:p w:rsidR="005B5F08" w:rsidRPr="00F43EF8" w:rsidRDefault="003A091F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PAGE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B20CF6">
            <w:rPr>
              <w:rFonts w:ascii="Arial" w:hAnsi="Arial"/>
              <w:noProof/>
              <w:color w:val="003769"/>
            </w:rPr>
            <w:t>1</w:t>
          </w:r>
          <w:r w:rsidRPr="00F43EF8">
            <w:rPr>
              <w:rFonts w:ascii="Arial" w:hAnsi="Arial"/>
              <w:color w:val="003769"/>
            </w:rPr>
            <w:fldChar w:fldCharType="end"/>
          </w:r>
          <w:r w:rsidRPr="00F43EF8">
            <w:rPr>
              <w:rFonts w:ascii="Arial" w:hAnsi="Arial"/>
              <w:color w:val="003769"/>
            </w:rPr>
            <w:t>/</w:t>
          </w: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NUMPAGES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B20CF6">
            <w:rPr>
              <w:rFonts w:ascii="Arial" w:hAnsi="Arial"/>
              <w:noProof/>
              <w:color w:val="003769"/>
            </w:rPr>
            <w:t>4</w:t>
          </w:r>
          <w:r w:rsidRPr="00F43EF8">
            <w:rPr>
              <w:rFonts w:ascii="Arial" w:hAnsi="Arial"/>
              <w:color w:val="003769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59D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E306D9A"/>
    <w:multiLevelType w:val="hybridMultilevel"/>
    <w:tmpl w:val="05247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3541B1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5AAB2574"/>
    <w:multiLevelType w:val="hybridMultilevel"/>
    <w:tmpl w:val="B20061A8"/>
    <w:lvl w:ilvl="0" w:tplc="074E95D0">
      <w:numFmt w:val="bullet"/>
      <w:lvlText w:val="•"/>
      <w:lvlJc w:val="left"/>
      <w:pPr>
        <w:ind w:left="417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7B036531"/>
    <w:multiLevelType w:val="hybridMultilevel"/>
    <w:tmpl w:val="45A66D10"/>
    <w:lvl w:ilvl="0" w:tplc="80EC6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1F"/>
    <w:rsid w:val="00042225"/>
    <w:rsid w:val="00055D11"/>
    <w:rsid w:val="00243969"/>
    <w:rsid w:val="003A091F"/>
    <w:rsid w:val="005153DA"/>
    <w:rsid w:val="00751B77"/>
    <w:rsid w:val="00A121EE"/>
    <w:rsid w:val="00A34245"/>
    <w:rsid w:val="00B16704"/>
    <w:rsid w:val="00B20CF6"/>
    <w:rsid w:val="00D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1F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3A09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A091F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3A091F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3A091F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3A091F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B20C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20CF6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1F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3A09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A091F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3A091F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3A091F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3A091F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B20C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20CF6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Winkster</dc:creator>
  <cp:lastModifiedBy>Irene ten Teije</cp:lastModifiedBy>
  <cp:revision>2</cp:revision>
  <dcterms:created xsi:type="dcterms:W3CDTF">2015-10-30T15:11:00Z</dcterms:created>
  <dcterms:modified xsi:type="dcterms:W3CDTF">2015-10-30T15:11:00Z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{42bab996-ab27-4de2-82bc-a92dd9dd041f}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Country Programmes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Burundi logical framework.docx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148</vt:lpwstr>
  </property>
  <property fmtid="{D5CDD505-2E9C-101B-9397-08002B2CF9AE}" pid="19" name="eSynDocSerialNumber">
    <vt:lpwstr>
    </vt:lpwstr>
  </property>
  <property fmtid="{D5CDD505-2E9C-101B-9397-08002B2CF9AE}" pid="20" name="eSynDocSubject">
    <vt:lpwstr>New logical frameworks LGCP 2012-2016 (June 2015)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LG.01.00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211690</vt:lpwstr>
  </property>
  <property fmtid="{D5CDD505-2E9C-101B-9397-08002B2CF9AE}" pid="38" name="eSynCleanUp10/30/2015 16:10:45">
    <vt:i4>1</vt:i4>
  </property>
  <property name="eSynCleanUp11/06/2015 12:45:50" fmtid="{D5CDD505-2E9C-101B-9397-08002B2CF9AE}" pid="39">
    <vt:i4>1</vt:i4>
  </property>
</Properties>
</file>